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37501D" w14:textId="74FB2E73" w:rsidR="00CD1FBE" w:rsidRDefault="00DC3B78" w:rsidP="34C01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C3B78">
        <w:rPr>
          <w:rFonts w:ascii="Times New Roman" w:eastAsia="Times New Roman" w:hAnsi="Times New Roman" w:cs="Times New Roman"/>
          <w:sz w:val="24"/>
          <w:szCs w:val="24"/>
        </w:rPr>
        <w:t xml:space="preserve">Leczenie </w:t>
      </w:r>
      <w:proofErr w:type="spellStart"/>
      <w:r w:rsidRPr="00DC3B78">
        <w:rPr>
          <w:rFonts w:ascii="Times New Roman" w:eastAsia="Times New Roman" w:hAnsi="Times New Roman" w:cs="Times New Roman"/>
          <w:sz w:val="24"/>
          <w:szCs w:val="24"/>
        </w:rPr>
        <w:t>denosumabem</w:t>
      </w:r>
      <w:proofErr w:type="spellEnd"/>
      <w:r w:rsidRPr="00DC3B78">
        <w:rPr>
          <w:rFonts w:ascii="Times New Roman" w:eastAsia="Times New Roman" w:hAnsi="Times New Roman" w:cs="Times New Roman"/>
          <w:sz w:val="24"/>
          <w:szCs w:val="24"/>
        </w:rPr>
        <w:t xml:space="preserve"> osteoporo</w:t>
      </w:r>
      <w:r w:rsidR="00CE7213">
        <w:rPr>
          <w:rFonts w:ascii="Times New Roman" w:eastAsia="Times New Roman" w:hAnsi="Times New Roman" w:cs="Times New Roman"/>
          <w:sz w:val="24"/>
          <w:szCs w:val="24"/>
        </w:rPr>
        <w:t>zy związanej z ciążą i laktacją</w:t>
      </w:r>
      <w:bookmarkStart w:id="0" w:name="_GoBack"/>
      <w:bookmarkEnd w:id="0"/>
    </w:p>
    <w:p w14:paraId="58640F8E" w14:textId="147DEA07" w:rsidR="00DC3B78" w:rsidRDefault="00DC3B78" w:rsidP="34C01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</w:t>
      </w:r>
      <w:proofErr w:type="spellStart"/>
      <w:r w:rsidRPr="00DC3B78">
        <w:rPr>
          <w:rFonts w:ascii="Times New Roman" w:eastAsia="Times New Roman" w:hAnsi="Times New Roman" w:cs="Times New Roman"/>
          <w:sz w:val="24"/>
          <w:szCs w:val="24"/>
        </w:rPr>
        <w:t>Pre-print</w:t>
      </w:r>
      <w:proofErr w:type="spellEnd"/>
      <w:r w:rsidRPr="00DC3B78">
        <w:rPr>
          <w:rFonts w:ascii="Times New Roman" w:eastAsia="Times New Roman" w:hAnsi="Times New Roman" w:cs="Times New Roman"/>
          <w:sz w:val="24"/>
          <w:szCs w:val="24"/>
        </w:rPr>
        <w:t xml:space="preserve"> zgłoszonej wersji artykułu, który ukaże się w czasopiśmie "Państwo i Społeczeństwo" 2024, nr 2.</w:t>
      </w:r>
      <w:r>
        <w:rPr>
          <w:rFonts w:ascii="Times New Roman" w:eastAsia="Times New Roman" w:hAnsi="Times New Roman" w:cs="Times New Roman"/>
          <w:sz w:val="24"/>
          <w:szCs w:val="24"/>
        </w:rPr>
        <w:t>]</w:t>
      </w:r>
    </w:p>
    <w:p w14:paraId="23CF0508" w14:textId="3C6F9B32" w:rsidR="00DC3B78" w:rsidRDefault="00DC3B78" w:rsidP="34C01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C3B78">
        <w:rPr>
          <w:rFonts w:ascii="Times New Roman" w:eastAsia="Times New Roman" w:hAnsi="Times New Roman" w:cs="Times New Roman"/>
          <w:sz w:val="24"/>
          <w:szCs w:val="24"/>
        </w:rPr>
        <w:t>Dr Przemysław Borowy</w:t>
      </w:r>
      <w:r w:rsidR="00396D80">
        <w:rPr>
          <w:rFonts w:ascii="Times New Roman" w:eastAsia="Times New Roman" w:hAnsi="Times New Roman" w:cs="Times New Roman"/>
          <w:sz w:val="24"/>
          <w:szCs w:val="24"/>
        </w:rPr>
        <w:t>*</w:t>
      </w:r>
      <w:r w:rsidRPr="00DC3B78">
        <w:rPr>
          <w:rFonts w:ascii="Times New Roman" w:eastAsia="Times New Roman" w:hAnsi="Times New Roman" w:cs="Times New Roman"/>
          <w:sz w:val="24"/>
          <w:szCs w:val="24"/>
        </w:rPr>
        <w:t>, Mateusz Heba</w:t>
      </w:r>
      <w:r w:rsidR="00396D80">
        <w:rPr>
          <w:rFonts w:ascii="Times New Roman" w:eastAsia="Times New Roman" w:hAnsi="Times New Roman" w:cs="Times New Roman"/>
          <w:sz w:val="24"/>
          <w:szCs w:val="24"/>
        </w:rPr>
        <w:t>*</w:t>
      </w:r>
      <w:r w:rsidRPr="00DC3B78">
        <w:rPr>
          <w:rFonts w:ascii="Times New Roman" w:eastAsia="Times New Roman" w:hAnsi="Times New Roman" w:cs="Times New Roman"/>
          <w:sz w:val="24"/>
          <w:szCs w:val="24"/>
        </w:rPr>
        <w:t xml:space="preserve">, Julia </w:t>
      </w:r>
      <w:proofErr w:type="spellStart"/>
      <w:r w:rsidRPr="00DC3B78">
        <w:rPr>
          <w:rFonts w:ascii="Times New Roman" w:eastAsia="Times New Roman" w:hAnsi="Times New Roman" w:cs="Times New Roman"/>
          <w:sz w:val="24"/>
          <w:szCs w:val="24"/>
        </w:rPr>
        <w:t>Płonczyńska</w:t>
      </w:r>
      <w:proofErr w:type="spellEnd"/>
      <w:r w:rsidR="00396D80">
        <w:rPr>
          <w:rFonts w:ascii="Times New Roman" w:eastAsia="Times New Roman" w:hAnsi="Times New Roman" w:cs="Times New Roman"/>
          <w:sz w:val="24"/>
          <w:szCs w:val="24"/>
        </w:rPr>
        <w:t>*</w:t>
      </w:r>
      <w:r w:rsidRPr="00DC3B78">
        <w:rPr>
          <w:rFonts w:ascii="Times New Roman" w:eastAsia="Times New Roman" w:hAnsi="Times New Roman" w:cs="Times New Roman"/>
          <w:sz w:val="24"/>
          <w:szCs w:val="24"/>
        </w:rPr>
        <w:t xml:space="preserve">, Olga </w:t>
      </w:r>
      <w:proofErr w:type="spellStart"/>
      <w:r w:rsidRPr="00DC3B78">
        <w:rPr>
          <w:rFonts w:ascii="Times New Roman" w:eastAsia="Times New Roman" w:hAnsi="Times New Roman" w:cs="Times New Roman"/>
          <w:sz w:val="24"/>
          <w:szCs w:val="24"/>
        </w:rPr>
        <w:t>Wcisłek</w:t>
      </w:r>
      <w:proofErr w:type="spellEnd"/>
      <w:r w:rsidRPr="00DC3B78">
        <w:rPr>
          <w:rFonts w:ascii="Times New Roman" w:eastAsia="Times New Roman" w:hAnsi="Times New Roman" w:cs="Times New Roman"/>
          <w:sz w:val="24"/>
          <w:szCs w:val="24"/>
        </w:rPr>
        <w:t xml:space="preserve">, Prof. Bogdan Batko, Alicja Kamińska, Patrycja Major, Jakub Smyk, Katarzyna </w:t>
      </w:r>
      <w:proofErr w:type="spellStart"/>
      <w:r w:rsidRPr="00DC3B78">
        <w:rPr>
          <w:rFonts w:ascii="Times New Roman" w:eastAsia="Times New Roman" w:hAnsi="Times New Roman" w:cs="Times New Roman"/>
          <w:sz w:val="24"/>
          <w:szCs w:val="24"/>
        </w:rPr>
        <w:t>Gołojuch</w:t>
      </w:r>
      <w:proofErr w:type="spellEnd"/>
    </w:p>
    <w:p w14:paraId="73433209" w14:textId="085565E0" w:rsidR="00396D80" w:rsidRDefault="00396D80" w:rsidP="34C0116C">
      <w:pPr>
        <w:pBdr>
          <w:top w:val="single" w:sz="6" w:space="1" w:color="auto"/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*</w:t>
      </w:r>
      <w:r w:rsidRPr="00396D80">
        <w:rPr>
          <w:rFonts w:ascii="Times New Roman" w:eastAsia="Times New Roman" w:hAnsi="Times New Roman" w:cs="Times New Roman"/>
          <w:sz w:val="24"/>
          <w:szCs w:val="24"/>
        </w:rPr>
        <w:t>Równy wkład jako pierwszy autor</w:t>
      </w:r>
    </w:p>
    <w:p w14:paraId="608B8E9E" w14:textId="77777777" w:rsidR="00CD1FBE" w:rsidRPr="001C5882" w:rsidRDefault="466E9FA8" w:rsidP="7D6BC57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7D6BC577">
        <w:rPr>
          <w:rFonts w:ascii="Times New Roman" w:eastAsia="Times New Roman" w:hAnsi="Times New Roman" w:cs="Times New Roman"/>
          <w:sz w:val="24"/>
          <w:szCs w:val="24"/>
        </w:rPr>
        <w:t>Streszczenie</w:t>
      </w:r>
    </w:p>
    <w:p w14:paraId="7C8D4A1D" w14:textId="03BBB44E" w:rsidR="00CD1FBE" w:rsidRPr="001C5882" w:rsidRDefault="466E9FA8" w:rsidP="7D6BC57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2266A545">
        <w:rPr>
          <w:rFonts w:ascii="Times New Roman" w:eastAsia="Times New Roman" w:hAnsi="Times New Roman" w:cs="Times New Roman"/>
          <w:sz w:val="24"/>
          <w:szCs w:val="24"/>
        </w:rPr>
        <w:t xml:space="preserve">Osteoporoza związana z ciążą i laktacją to rzadka, wtórna odmiana osteoporozy. W jej przebiegu dochodzi do zmniejszenia gęstości mineralnej kości i zaburzeń </w:t>
      </w:r>
      <w:proofErr w:type="spellStart"/>
      <w:r w:rsidRPr="2266A545">
        <w:rPr>
          <w:rFonts w:ascii="Times New Roman" w:eastAsia="Times New Roman" w:hAnsi="Times New Roman" w:cs="Times New Roman"/>
          <w:sz w:val="24"/>
          <w:szCs w:val="24"/>
        </w:rPr>
        <w:t>mikroarchitektury</w:t>
      </w:r>
      <w:proofErr w:type="spellEnd"/>
      <w:r w:rsidRPr="2266A545">
        <w:rPr>
          <w:rFonts w:ascii="Times New Roman" w:eastAsia="Times New Roman" w:hAnsi="Times New Roman" w:cs="Times New Roman"/>
          <w:sz w:val="24"/>
          <w:szCs w:val="24"/>
        </w:rPr>
        <w:t xml:space="preserve">, co prowadzi do </w:t>
      </w:r>
      <w:r w:rsidRPr="2266A54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złamań.</w:t>
      </w:r>
      <w:r w:rsidRPr="2266A545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2266A545">
        <w:rPr>
          <w:rFonts w:ascii="Times New Roman" w:eastAsia="Times New Roman" w:hAnsi="Times New Roman" w:cs="Times New Roman"/>
          <w:sz w:val="24"/>
          <w:szCs w:val="24"/>
        </w:rPr>
        <w:t xml:space="preserve">Praca prezentuje rzadki przypadek leczenia </w:t>
      </w:r>
      <w:proofErr w:type="spellStart"/>
      <w:r w:rsidRPr="2266A545">
        <w:rPr>
          <w:rFonts w:ascii="Times New Roman" w:eastAsia="Times New Roman" w:hAnsi="Times New Roman" w:cs="Times New Roman"/>
          <w:sz w:val="24"/>
          <w:szCs w:val="24"/>
        </w:rPr>
        <w:t>denosumabem</w:t>
      </w:r>
      <w:proofErr w:type="spellEnd"/>
      <w:r w:rsidRPr="2266A545">
        <w:rPr>
          <w:rFonts w:ascii="Times New Roman" w:eastAsia="Times New Roman" w:hAnsi="Times New Roman" w:cs="Times New Roman"/>
          <w:sz w:val="24"/>
          <w:szCs w:val="24"/>
        </w:rPr>
        <w:t xml:space="preserve"> 34-letniej pacjentki z ciężką osteoporozą związaną z ciążą i laktacją. Rozpoznanie postawiono po przeprowadzeniu szerokiej diagnostyki różnicowej. Po roku leczenia </w:t>
      </w:r>
      <w:proofErr w:type="spellStart"/>
      <w:r w:rsidRPr="2266A545">
        <w:rPr>
          <w:rFonts w:ascii="Times New Roman" w:eastAsia="Times New Roman" w:hAnsi="Times New Roman" w:cs="Times New Roman"/>
          <w:sz w:val="24"/>
          <w:szCs w:val="24"/>
        </w:rPr>
        <w:t>denosumabem</w:t>
      </w:r>
      <w:proofErr w:type="spellEnd"/>
      <w:r w:rsidRPr="2266A545">
        <w:rPr>
          <w:rFonts w:ascii="Times New Roman" w:eastAsia="Times New Roman" w:hAnsi="Times New Roman" w:cs="Times New Roman"/>
          <w:sz w:val="24"/>
          <w:szCs w:val="24"/>
        </w:rPr>
        <w:t xml:space="preserve"> uzyskano wzrost gęstości mineralnej, ustąpienie bólu i poprawę sprawności funkcjonalnej. Obecnie nie ma wytycznych leczenia takiej osteoporozy, ale </w:t>
      </w:r>
      <w:proofErr w:type="spellStart"/>
      <w:r w:rsidRPr="2266A545">
        <w:rPr>
          <w:rFonts w:ascii="Times New Roman" w:eastAsia="Times New Roman" w:hAnsi="Times New Roman" w:cs="Times New Roman"/>
          <w:sz w:val="24"/>
          <w:szCs w:val="24"/>
        </w:rPr>
        <w:t>denosumab</w:t>
      </w:r>
      <w:proofErr w:type="spellEnd"/>
      <w:r w:rsidRPr="2266A545">
        <w:rPr>
          <w:rFonts w:ascii="Times New Roman" w:eastAsia="Times New Roman" w:hAnsi="Times New Roman" w:cs="Times New Roman"/>
          <w:sz w:val="24"/>
          <w:szCs w:val="24"/>
        </w:rPr>
        <w:t xml:space="preserve"> wydaje się być bezpieczną i skuteczną alternatywą dla </w:t>
      </w:r>
      <w:proofErr w:type="spellStart"/>
      <w:r w:rsidRPr="2266A545">
        <w:rPr>
          <w:rFonts w:ascii="Times New Roman" w:eastAsia="Times New Roman" w:hAnsi="Times New Roman" w:cs="Times New Roman"/>
          <w:sz w:val="24"/>
          <w:szCs w:val="24"/>
        </w:rPr>
        <w:t>bisfosfonianów</w:t>
      </w:r>
      <w:proofErr w:type="spellEnd"/>
      <w:r w:rsidRPr="2266A545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4DD6721" w14:textId="77777777" w:rsidR="00CD1FBE" w:rsidRPr="001C5882" w:rsidRDefault="466E9FA8" w:rsidP="7D6BC57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7D6BC577">
        <w:rPr>
          <w:rFonts w:ascii="Times New Roman" w:eastAsia="Times New Roman" w:hAnsi="Times New Roman" w:cs="Times New Roman"/>
          <w:sz w:val="24"/>
          <w:szCs w:val="24"/>
        </w:rPr>
        <w:t>Słowa kluczowe:</w:t>
      </w:r>
      <w:r w:rsidRPr="7D6BC57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osteoporoza, ciąża,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denosumab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>, densytometria</w:t>
      </w:r>
    </w:p>
    <w:p w14:paraId="5DAB6C7B" w14:textId="77777777" w:rsidR="00CD1FBE" w:rsidRDefault="00CD1FBE" w:rsidP="7D6BC577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2EB378F" w14:textId="77777777" w:rsidR="00CD1FBE" w:rsidRDefault="00CD1FBE" w:rsidP="7D6BC577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52D8D24" w14:textId="77777777" w:rsidR="00CD1FBE" w:rsidRDefault="34C0116C" w:rsidP="7D6BC57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7D6BC577">
        <w:rPr>
          <w:rFonts w:ascii="Times New Roman" w:eastAsia="Times New Roman" w:hAnsi="Times New Roman" w:cs="Times New Roman"/>
          <w:sz w:val="24"/>
          <w:szCs w:val="24"/>
        </w:rPr>
        <w:t>Wprowadzenie</w:t>
      </w:r>
    </w:p>
    <w:p w14:paraId="5C4C050A" w14:textId="77777777" w:rsidR="00CD1FBE" w:rsidRDefault="34C0116C" w:rsidP="7D6BC57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Osteoporoza związana z ciążą i laktacją (PLO,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pregnancy</w:t>
      </w:r>
      <w:proofErr w:type="spellEnd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and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lactation-associated</w:t>
      </w:r>
      <w:proofErr w:type="spellEnd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osteoporosis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>) to rzadka odmiana osteoporozy. Jej patofizjologia pozostaje nieznana, a czynniki ryzyka nie zostały określone. Choroba objawia się zazwyczaj w pierwszej ciąży [2], zwykle w trzecim trymestrze lub po porodzie. Dominują bóle kręgosłupa, pogłębienie kifozy piersiowej oraz obniżenie wzrostu będącego skutkiem niskoenergetycznych złamań trzonów kręgowych [3].</w:t>
      </w:r>
    </w:p>
    <w:p w14:paraId="7F668B5B" w14:textId="4D64499B" w:rsidR="00CD1FBE" w:rsidRDefault="34C0116C" w:rsidP="7D6BC57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 w:rsidRPr="7D6BC577">
        <w:rPr>
          <w:rFonts w:ascii="Times New Roman" w:eastAsia="Times New Roman" w:hAnsi="Times New Roman" w:cs="Times New Roman"/>
          <w:sz w:val="24"/>
          <w:szCs w:val="24"/>
        </w:rPr>
        <w:t>W trakcie trzeciego trymestru ciąży, jak i podczas laktacji dochodzi do wzmożonej resorpcji i zmniejszenia się gęstości mineralnej kości (BMD,</w:t>
      </w:r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bone</w:t>
      </w:r>
      <w:proofErr w:type="spellEnd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mineral</w:t>
      </w:r>
      <w:proofErr w:type="spellEnd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density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). Może to prowadzić złamań [4]. U części chorych obecne są czynniki ryzyka osteoporozy, takie jak BMI &lt;18 kg/m2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(nawet 65% pacjentek), niski poziom witaminy D, palenie tytoniu, złamania u rodziców, jadłowstręt psychiczny, wcześniejsza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steroidoterapia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>, leczenie heparyną oraz brak aktywności fizycznej czy długotrwałe unieruchomienie w ciąży [2, 5, 6]. PLO ma jednak głównie podłoże idiopatyczne [7]. W trakcie ciąży może się również ujawnić inna, wcześniej niezdiagnozowana, choroba metaboliczna kości, np. wrodzona łamliwość kości czy mutacje powodujące utratę funkcji</w:t>
      </w:r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>białk</w:t>
      </w:r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>a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związan</w:t>
      </w:r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>ego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z receptorem</w:t>
      </w:r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>lipoproteiny</w:t>
      </w:r>
      <w:proofErr w:type="spellEnd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 5 (LRP5,  </w:t>
      </w:r>
      <w:proofErr w:type="spellStart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>low</w:t>
      </w:r>
      <w:proofErr w:type="spellEnd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>density</w:t>
      </w:r>
      <w:proofErr w:type="spellEnd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>lipoprotein</w:t>
      </w:r>
      <w:proofErr w:type="spellEnd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 receptor-</w:t>
      </w:r>
      <w:proofErr w:type="spellStart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>related</w:t>
      </w:r>
      <w:proofErr w:type="spellEnd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 protein 5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) [1, 2, 8]. </w:t>
      </w:r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Diagnostyka polega na badaniu densytometrycznym kręgosłupa i kości udowej [9]. Wskaźnik Z-</w:t>
      </w:r>
      <w:proofErr w:type="spellStart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score</w:t>
      </w:r>
      <w:proofErr w:type="spellEnd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niższy niż -2.0 w trzonach kręgów lub kości udowej, jest kryterium densytometrycznym. Badania obrazowe ujawniają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>złamania, głównie trzonów kręgów, głównie Th11-L4 (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thoracic</w:t>
      </w:r>
      <w:proofErr w:type="spellEnd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vertebrae</w:t>
      </w:r>
      <w:proofErr w:type="spellEnd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lumbar</w:t>
      </w:r>
      <w:proofErr w:type="spellEnd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vertebrae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>) [3, 6].</w:t>
      </w:r>
    </w:p>
    <w:p w14:paraId="26E6D5DF" w14:textId="4F220CE2" w:rsidR="00CD1FBE" w:rsidRDefault="34C0116C" w:rsidP="7D6BC57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</w:rPr>
      </w:pPr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Standardy leczenia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PLO nie są ustalone. U wszystkich pacjentów leczenie polega na przyjmowaniu witaminy D, wapnia oraz eliminacji modyfikowalnych czynników ryzyka (dieta, aktywność ruchowa, unikanie upadków). Konieczna jest regularna kontrola gospodarki wapniowo-fosforanowej oraz stężenia 25(OH)D w surowicy [9]. </w:t>
      </w:r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Zaleca się również przerwanie karmienia piersią [10].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Rekomendowane jest włączenie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bisfosfonianów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(BP</w:t>
      </w:r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BB3FB8" w:rsidRPr="001C5882">
        <w:rPr>
          <w:rStyle w:val="Uwydatnienie"/>
          <w:rFonts w:ascii="Times New Roman" w:eastAsia="Times New Roman" w:hAnsi="Times New Roman" w:cs="Times New Roman"/>
          <w:i w:val="0"/>
          <w:iCs w:val="0"/>
          <w:color w:val="000000" w:themeColor="text1"/>
          <w:sz w:val="21"/>
          <w:szCs w:val="21"/>
        </w:rPr>
        <w:t>bisphosphonates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) z uwagi na pobudzoną resorpcję kości. Optymalny czas leczenia nie jest ustalony. Zalecana jest 5-letnia terapia, gdyż daje optymalny wzrost BMD [4]. </w:t>
      </w:r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Jednak BP utrzymują się w tkankach kostnych przez wiele lat i mogą przenikać przez łożysko. Korzystne jest także sekwencyjne leczenie </w:t>
      </w:r>
      <w:proofErr w:type="spellStart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teryparatydem</w:t>
      </w:r>
      <w:proofErr w:type="spellEnd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</w:t>
      </w:r>
      <w:proofErr w:type="spellStart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denosumabem</w:t>
      </w:r>
      <w:proofErr w:type="spellEnd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Leczenie </w:t>
      </w:r>
      <w:proofErr w:type="spellStart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denosumabem</w:t>
      </w:r>
      <w:proofErr w:type="spellEnd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może być skuteczne u kobiet z PLO i stanowić alternatywę dla </w:t>
      </w:r>
      <w:proofErr w:type="spellStart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bisfosfonianów</w:t>
      </w:r>
      <w:proofErr w:type="spellEnd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[3]. Po odstawieniu </w:t>
      </w:r>
      <w:proofErr w:type="spellStart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denosumabu</w:t>
      </w:r>
      <w:proofErr w:type="spellEnd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konieczne może być czasowe wprowadzenie innego leku </w:t>
      </w:r>
      <w:proofErr w:type="spellStart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antyresorpcyjnego</w:t>
      </w:r>
      <w:proofErr w:type="spellEnd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z uwagi na ryzyko gwałtownego spadku BMD, choć te obserwacje odnoszą się do osteoporozy </w:t>
      </w:r>
      <w:proofErr w:type="spellStart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pomenopauzalnej</w:t>
      </w:r>
      <w:proofErr w:type="spellEnd"/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>Leczenie powinno być planowane zawsze indywidualnie. Trzeba uwzględnić wiek pacjentki, ciężkość choroby i plany prokreacyjne [9].</w:t>
      </w:r>
    </w:p>
    <w:p w14:paraId="30B764ED" w14:textId="77777777" w:rsidR="00CD1FBE" w:rsidRDefault="34C0116C" w:rsidP="7D6BC57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7D6BC577">
        <w:rPr>
          <w:rFonts w:ascii="Times New Roman" w:eastAsia="Times New Roman" w:hAnsi="Times New Roman" w:cs="Times New Roman"/>
          <w:sz w:val="24"/>
          <w:szCs w:val="24"/>
        </w:rPr>
        <w:t>Opis przypadku</w:t>
      </w:r>
    </w:p>
    <w:p w14:paraId="5A39BBE3" w14:textId="2D2F7591" w:rsidR="00CD1FBE" w:rsidRDefault="34C0116C" w:rsidP="7D6BC57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7D6BC577">
        <w:rPr>
          <w:rFonts w:ascii="Times New Roman" w:eastAsia="Times New Roman" w:hAnsi="Times New Roman" w:cs="Times New Roman"/>
          <w:sz w:val="24"/>
          <w:szCs w:val="24"/>
        </w:rPr>
        <w:t>W pracy przedstawiamy przypadek 34-letniej pacjentki, u której rozpoznano osteoporozę związaną z ciążą i laktacją. U pacjentki doszło do licznych niskoenergetycznych, wielopoziomowych złamań kręgosłupa w odcinku piersiowym w 2 miesiące po urodzeniu drugiego dziecka. Badanie rezonansem magnetycznym (MRI</w:t>
      </w:r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BB3FB8" w:rsidRPr="001C5882">
        <w:rPr>
          <w:rFonts w:ascii="Times New Roman" w:eastAsia="Times New Roman" w:hAnsi="Times New Roman" w:cs="Times New Roman"/>
          <w:color w:val="4D5156"/>
          <w:shd w:val="clear" w:color="auto" w:fill="FFFFFF"/>
        </w:rPr>
        <w:t>magnetic</w:t>
      </w:r>
      <w:proofErr w:type="spellEnd"/>
      <w:r w:rsidR="00BB3FB8" w:rsidRPr="001C5882">
        <w:rPr>
          <w:rFonts w:ascii="Times New Roman" w:eastAsia="Times New Roman" w:hAnsi="Times New Roman" w:cs="Times New Roman"/>
          <w:color w:val="4D5156"/>
          <w:shd w:val="clear" w:color="auto" w:fill="FFFFFF"/>
        </w:rPr>
        <w:t xml:space="preserve"> </w:t>
      </w:r>
      <w:proofErr w:type="spellStart"/>
      <w:r w:rsidR="00BB3FB8" w:rsidRPr="001C5882">
        <w:rPr>
          <w:rFonts w:ascii="Times New Roman" w:eastAsia="Times New Roman" w:hAnsi="Times New Roman" w:cs="Times New Roman"/>
          <w:color w:val="4D5156"/>
          <w:shd w:val="clear" w:color="auto" w:fill="FFFFFF"/>
        </w:rPr>
        <w:t>resonance</w:t>
      </w:r>
      <w:proofErr w:type="spellEnd"/>
      <w:r w:rsidR="00BB3FB8" w:rsidRPr="001C5882">
        <w:rPr>
          <w:rFonts w:ascii="Times New Roman" w:eastAsia="Times New Roman" w:hAnsi="Times New Roman" w:cs="Times New Roman"/>
          <w:color w:val="4D5156"/>
          <w:shd w:val="clear" w:color="auto" w:fill="FFFFFF"/>
        </w:rPr>
        <w:t xml:space="preserve"> </w:t>
      </w:r>
      <w:proofErr w:type="spellStart"/>
      <w:r w:rsidR="00BB3FB8" w:rsidRPr="001C5882">
        <w:rPr>
          <w:rFonts w:ascii="Times New Roman" w:eastAsia="Times New Roman" w:hAnsi="Times New Roman" w:cs="Times New Roman"/>
          <w:color w:val="4D5156"/>
          <w:shd w:val="clear" w:color="auto" w:fill="FFFFFF"/>
        </w:rPr>
        <w:t>imaging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) ujawniło złamania kompresyjne TH 4,5,6,7,8,9,10,11. Badanie densytometryczne wykazało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lastRenderedPageBreak/>
        <w:t>spadek BMD w odcinku lędźwiowym kręgosłupa (Z-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score</w:t>
      </w:r>
      <w:proofErr w:type="spellEnd"/>
      <w:r w:rsidR="018FCB23" w:rsidRPr="7D6BC57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>–3,3) oraz w lewej kości udowej (Z-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score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–1,6).  Przeprowadzono diagnostykę różnicową w kierunku innych przyczyn niskiej gęstości mineralnej kości: USG tarczycy, piersi i jamy brzusznej, gastro- i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kolonoskopię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, badanie gospodarki wapniowo-fosforanowej, immunoglobulin A, G, M, test hamowania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deksametazonem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. Wykluczono inne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endokrynopatie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. Markery </w:t>
      </w:r>
      <w:r w:rsidR="00526F03" w:rsidRPr="7D6BC577">
        <w:rPr>
          <w:rFonts w:ascii="Times New Roman" w:eastAsia="Times New Roman" w:hAnsi="Times New Roman" w:cs="Times New Roman"/>
          <w:sz w:val="24"/>
          <w:szCs w:val="24"/>
        </w:rPr>
        <w:t xml:space="preserve">nowotworowe takie jak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>CA 125</w:t>
      </w:r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 (CA, </w:t>
      </w:r>
      <w:proofErr w:type="spellStart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>cancer</w:t>
      </w:r>
      <w:proofErr w:type="spellEnd"/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 antygen)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, CA 19-9 oraz </w:t>
      </w:r>
      <w:r w:rsidR="00526F03" w:rsidRPr="7D6BC577">
        <w:rPr>
          <w:rFonts w:ascii="Times New Roman" w:eastAsia="Times New Roman" w:hAnsi="Times New Roman" w:cs="Times New Roman"/>
          <w:sz w:val="24"/>
          <w:szCs w:val="24"/>
        </w:rPr>
        <w:t>antygen karcynoembrionalny (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>CEA</w:t>
      </w:r>
      <w:r w:rsidR="00526F03" w:rsidRPr="7D6BC57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526F03" w:rsidRPr="7D6BC577">
        <w:rPr>
          <w:rFonts w:ascii="Times New Roman" w:eastAsia="Times New Roman" w:hAnsi="Times New Roman" w:cs="Times New Roman"/>
          <w:color w:val="4D5156"/>
          <w:sz w:val="21"/>
          <w:szCs w:val="21"/>
          <w:shd w:val="clear" w:color="auto" w:fill="FFFFFF"/>
        </w:rPr>
        <w:t>Carcinoembryonic</w:t>
      </w:r>
      <w:proofErr w:type="spellEnd"/>
      <w:r w:rsidR="00526F03" w:rsidRPr="7D6BC577">
        <w:rPr>
          <w:rFonts w:ascii="Times New Roman" w:eastAsia="Times New Roman" w:hAnsi="Times New Roman" w:cs="Times New Roman"/>
          <w:color w:val="4D5156"/>
          <w:sz w:val="21"/>
          <w:szCs w:val="21"/>
          <w:shd w:val="clear" w:color="auto" w:fill="FFFFFF"/>
        </w:rPr>
        <w:t> </w:t>
      </w:r>
      <w:proofErr w:type="spellStart"/>
      <w:r w:rsidR="00526F03" w:rsidRPr="7D6BC577">
        <w:rPr>
          <w:rStyle w:val="Uwydatnienie"/>
          <w:rFonts w:ascii="Times New Roman" w:eastAsia="Times New Roman" w:hAnsi="Times New Roman" w:cs="Times New Roman"/>
          <w:i w:val="0"/>
          <w:iCs w:val="0"/>
          <w:color w:val="5F6368"/>
          <w:sz w:val="21"/>
          <w:szCs w:val="21"/>
          <w:shd w:val="clear" w:color="auto" w:fill="FFFFFF"/>
        </w:rPr>
        <w:t>antigen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) dały wynik negatywny. Podwyższony poziom CRP (białko C-reaktywne) oraz OB (odczyn Biernackiego) był skutkiem złamań i w trakcie leczenia uległ normalizacji. Konsultacja ginekologiczna, endokrynologiczna, ortopedyczna i hematologiczna nie ujawniła innych odchyleń. Do leczenia włączono węglan wapnia 1g/dziennie, witaminę D 4000IU,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denosumab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60 mg co 6 miesięcy oraz gorset stabilizujący.  Po dwóch dawkach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denosumabu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uzyskano poprawę BMD (tabela 1).</w:t>
      </w:r>
    </w:p>
    <w:p w14:paraId="72A3D3EC" w14:textId="312F5D22" w:rsidR="00CD1FBE" w:rsidRDefault="00CD1FBE" w:rsidP="34C0116C">
      <w:pPr>
        <w:spacing w:line="360" w:lineRule="auto"/>
        <w:rPr>
          <w:rFonts w:ascii="Times New Roman" w:eastAsia="Times New Roman" w:hAnsi="Times New Roman" w:cs="Times New Roman"/>
        </w:rPr>
      </w:pPr>
    </w:p>
    <w:p w14:paraId="0D815D92" w14:textId="77777777" w:rsidR="00CD1FBE" w:rsidRDefault="34C0116C" w:rsidP="34C01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65F4B62E">
        <w:rPr>
          <w:rFonts w:ascii="Times New Roman" w:eastAsia="Times New Roman" w:hAnsi="Times New Roman" w:cs="Times New Roman"/>
          <w:sz w:val="24"/>
          <w:szCs w:val="24"/>
        </w:rPr>
        <w:t xml:space="preserve">Tabela 1. Wyniki badań densytometrycznych przed i po leczeniu (pomiar za pomocą aparatu </w:t>
      </w:r>
      <w:proofErr w:type="spellStart"/>
      <w:r w:rsidRPr="65F4B62E">
        <w:rPr>
          <w:rFonts w:ascii="Times New Roman" w:eastAsia="Times New Roman" w:hAnsi="Times New Roman" w:cs="Times New Roman"/>
          <w:sz w:val="24"/>
          <w:szCs w:val="24"/>
        </w:rPr>
        <w:t>Hologic</w:t>
      </w:r>
      <w:proofErr w:type="spellEnd"/>
      <w:r w:rsidRPr="65F4B6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65F4B62E">
        <w:rPr>
          <w:rFonts w:ascii="Times New Roman" w:eastAsia="Times New Roman" w:hAnsi="Times New Roman" w:cs="Times New Roman"/>
          <w:sz w:val="24"/>
          <w:szCs w:val="24"/>
        </w:rPr>
        <w:t>Horison</w:t>
      </w:r>
      <w:proofErr w:type="spellEnd"/>
      <w:r w:rsidRPr="65F4B62E">
        <w:rPr>
          <w:rFonts w:ascii="Times New Roman" w:eastAsia="Times New Roman" w:hAnsi="Times New Roman" w:cs="Times New Roman"/>
          <w:sz w:val="24"/>
          <w:szCs w:val="24"/>
        </w:rPr>
        <w:t xml:space="preserve"> W).</w:t>
      </w:r>
    </w:p>
    <w:tbl>
      <w:tblPr>
        <w:tblStyle w:val="Tabela-Siatka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6A0" w:firstRow="1" w:lastRow="0" w:firstColumn="1" w:lastColumn="0" w:noHBand="1" w:noVBand="1"/>
      </w:tblPr>
      <w:tblGrid>
        <w:gridCol w:w="1046"/>
        <w:gridCol w:w="1100"/>
        <w:gridCol w:w="990"/>
        <w:gridCol w:w="810"/>
        <w:gridCol w:w="1575"/>
        <w:gridCol w:w="975"/>
        <w:gridCol w:w="900"/>
        <w:gridCol w:w="1755"/>
      </w:tblGrid>
      <w:tr w:rsidR="65F4B62E" w14:paraId="031BAC2F" w14:textId="77777777" w:rsidTr="65F4B62E">
        <w:trPr>
          <w:trHeight w:val="345"/>
        </w:trPr>
        <w:tc>
          <w:tcPr>
            <w:tcW w:w="1046" w:type="dxa"/>
            <w:vMerge w:val="restart"/>
            <w:tcBorders>
              <w:top w:val="single" w:sz="18" w:space="0" w:color="auto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  <w:vAlign w:val="center"/>
          </w:tcPr>
          <w:p w14:paraId="62816413" w14:textId="6182CCF1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Rok badania </w:t>
            </w:r>
          </w:p>
        </w:tc>
        <w:tc>
          <w:tcPr>
            <w:tcW w:w="1100" w:type="dxa"/>
            <w:vMerge w:val="restart"/>
            <w:tcBorders>
              <w:top w:val="single" w:sz="18" w:space="0" w:color="auto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  <w:vAlign w:val="center"/>
          </w:tcPr>
          <w:p w14:paraId="75A2F166" w14:textId="2AAA751D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Wiek pacjenta </w:t>
            </w:r>
          </w:p>
        </w:tc>
        <w:tc>
          <w:tcPr>
            <w:tcW w:w="3375" w:type="dxa"/>
            <w:gridSpan w:val="3"/>
            <w:tcBorders>
              <w:top w:val="single" w:sz="18" w:space="0" w:color="000000" w:themeColor="text1"/>
              <w:left w:val="nil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</w:tcPr>
          <w:p w14:paraId="35AB4EB4" w14:textId="576F432B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Kręgi L1- L4</w:t>
            </w:r>
          </w:p>
        </w:tc>
        <w:tc>
          <w:tcPr>
            <w:tcW w:w="3630" w:type="dxa"/>
            <w:gridSpan w:val="3"/>
            <w:tcBorders>
              <w:top w:val="single" w:sz="18" w:space="0" w:color="000000" w:themeColor="text1"/>
              <w:left w:val="nil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</w:tcPr>
          <w:p w14:paraId="31F831E4" w14:textId="1F7BF2F4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Neck- szyjka głowy kości udowej</w:t>
            </w:r>
          </w:p>
        </w:tc>
      </w:tr>
      <w:tr w:rsidR="65F4B62E" w14:paraId="1F03FADA" w14:textId="77777777" w:rsidTr="65F4B62E">
        <w:trPr>
          <w:trHeight w:val="300"/>
        </w:trPr>
        <w:tc>
          <w:tcPr>
            <w:tcW w:w="1046" w:type="dxa"/>
            <w:vMerge/>
            <w:tcBorders>
              <w:left w:val="nil"/>
              <w:bottom w:val="single" w:sz="0" w:space="0" w:color="auto"/>
            </w:tcBorders>
            <w:vAlign w:val="center"/>
          </w:tcPr>
          <w:p w14:paraId="3D690AB1" w14:textId="77777777" w:rsidR="00C4432E" w:rsidRDefault="00C4432E"/>
        </w:tc>
        <w:tc>
          <w:tcPr>
            <w:tcW w:w="1100" w:type="dxa"/>
            <w:vMerge/>
            <w:tcBorders>
              <w:left w:val="nil"/>
              <w:bottom w:val="single" w:sz="0" w:space="0" w:color="auto"/>
            </w:tcBorders>
            <w:vAlign w:val="center"/>
          </w:tcPr>
          <w:p w14:paraId="26EDF443" w14:textId="77777777" w:rsidR="00C4432E" w:rsidRDefault="00C4432E"/>
        </w:tc>
        <w:tc>
          <w:tcPr>
            <w:tcW w:w="990" w:type="dxa"/>
            <w:tcBorders>
              <w:top w:val="single" w:sz="6" w:space="0" w:color="000000" w:themeColor="text1"/>
              <w:left w:val="nil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</w:tcPr>
          <w:p w14:paraId="091CF15F" w14:textId="3A9D6038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BMD [g/cm</w:t>
            </w: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]</w:t>
            </w:r>
          </w:p>
        </w:tc>
        <w:tc>
          <w:tcPr>
            <w:tcW w:w="810" w:type="dxa"/>
            <w:tcBorders>
              <w:top w:val="single" w:sz="6" w:space="0" w:color="000000" w:themeColor="text1"/>
              <w:left w:val="nil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</w:tcPr>
          <w:p w14:paraId="792BBDE2" w14:textId="379B598C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Z-</w:t>
            </w:r>
            <w:proofErr w:type="spellStart"/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score</w:t>
            </w:r>
            <w:proofErr w:type="spellEnd"/>
          </w:p>
        </w:tc>
        <w:tc>
          <w:tcPr>
            <w:tcW w:w="1575" w:type="dxa"/>
            <w:tcBorders>
              <w:top w:val="single" w:sz="12" w:space="0" w:color="000000" w:themeColor="text1"/>
              <w:left w:val="nil"/>
              <w:bottom w:val="single" w:sz="6" w:space="0" w:color="000000" w:themeColor="text1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</w:tcPr>
          <w:p w14:paraId="5AA90564" w14:textId="4521453A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Zmiana BMD w stosunku do poprzedniego badania (%)</w:t>
            </w:r>
          </w:p>
        </w:tc>
        <w:tc>
          <w:tcPr>
            <w:tcW w:w="975" w:type="dxa"/>
            <w:tcBorders>
              <w:top w:val="single" w:sz="6" w:space="0" w:color="000000" w:themeColor="text1"/>
              <w:left w:val="nil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</w:tcPr>
          <w:p w14:paraId="64AB7437" w14:textId="4A6DDD9C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BMD </w:t>
            </w:r>
          </w:p>
          <w:p w14:paraId="78C1D39B" w14:textId="3B700BDF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[g/cm</w:t>
            </w: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]</w:t>
            </w:r>
          </w:p>
        </w:tc>
        <w:tc>
          <w:tcPr>
            <w:tcW w:w="900" w:type="dxa"/>
            <w:tcBorders>
              <w:top w:val="single" w:sz="6" w:space="0" w:color="000000" w:themeColor="text1"/>
              <w:left w:val="nil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</w:tcPr>
          <w:p w14:paraId="11D7AD76" w14:textId="087BEE3F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Z-</w:t>
            </w:r>
            <w:proofErr w:type="spellStart"/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score</w:t>
            </w:r>
            <w:proofErr w:type="spellEnd"/>
          </w:p>
          <w:p w14:paraId="2790CAFC" w14:textId="6715A894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6" w:space="0" w:color="000000" w:themeColor="text1"/>
              <w:left w:val="nil"/>
              <w:right w:val="nil"/>
            </w:tcBorders>
            <w:shd w:val="clear" w:color="auto" w:fill="FFFFFF" w:themeFill="background1"/>
            <w:tcMar>
              <w:left w:w="90" w:type="dxa"/>
              <w:right w:w="90" w:type="dxa"/>
            </w:tcMar>
          </w:tcPr>
          <w:p w14:paraId="010490F2" w14:textId="7D70226C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Zmiana BMD w stosunku do poprzedniego badania (%)</w:t>
            </w:r>
          </w:p>
        </w:tc>
      </w:tr>
      <w:tr w:rsidR="65F4B62E" w14:paraId="0299E735" w14:textId="77777777" w:rsidTr="65F4B62E">
        <w:trPr>
          <w:trHeight w:val="300"/>
        </w:trPr>
        <w:tc>
          <w:tcPr>
            <w:tcW w:w="1046" w:type="dxa"/>
            <w:tcBorders>
              <w:top w:val="single" w:sz="6" w:space="0" w:color="000000" w:themeColor="text1"/>
              <w:left w:val="nil"/>
              <w:right w:val="nil"/>
            </w:tcBorders>
            <w:tcMar>
              <w:left w:w="90" w:type="dxa"/>
              <w:right w:w="90" w:type="dxa"/>
            </w:tcMar>
          </w:tcPr>
          <w:p w14:paraId="61C08792" w14:textId="3D3690BF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2023</w:t>
            </w:r>
          </w:p>
        </w:tc>
        <w:tc>
          <w:tcPr>
            <w:tcW w:w="1100" w:type="dxa"/>
            <w:tcBorders>
              <w:top w:val="single" w:sz="6" w:space="0" w:color="000000" w:themeColor="text1"/>
              <w:left w:val="nil"/>
              <w:right w:val="nil"/>
            </w:tcBorders>
            <w:tcMar>
              <w:left w:w="90" w:type="dxa"/>
              <w:right w:w="90" w:type="dxa"/>
            </w:tcMar>
          </w:tcPr>
          <w:p w14:paraId="38AF4CF1" w14:textId="25864F69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34,6</w:t>
            </w:r>
          </w:p>
        </w:tc>
        <w:tc>
          <w:tcPr>
            <w:tcW w:w="990" w:type="dxa"/>
            <w:tcBorders>
              <w:top w:val="single" w:sz="6" w:space="0" w:color="000000" w:themeColor="text1"/>
              <w:left w:val="nil"/>
              <w:right w:val="nil"/>
            </w:tcBorders>
            <w:tcMar>
              <w:left w:w="90" w:type="dxa"/>
              <w:right w:w="90" w:type="dxa"/>
            </w:tcMar>
          </w:tcPr>
          <w:p w14:paraId="58184984" w14:textId="76F545E2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0.889</w:t>
            </w:r>
          </w:p>
        </w:tc>
        <w:tc>
          <w:tcPr>
            <w:tcW w:w="810" w:type="dxa"/>
            <w:tcBorders>
              <w:top w:val="single" w:sz="6" w:space="0" w:color="000000" w:themeColor="text1"/>
              <w:left w:val="nil"/>
              <w:right w:val="nil"/>
            </w:tcBorders>
            <w:tcMar>
              <w:left w:w="90" w:type="dxa"/>
              <w:right w:w="90" w:type="dxa"/>
            </w:tcMar>
          </w:tcPr>
          <w:p w14:paraId="772986E0" w14:textId="17340859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-2.0</w:t>
            </w:r>
          </w:p>
        </w:tc>
        <w:tc>
          <w:tcPr>
            <w:tcW w:w="1575" w:type="dxa"/>
            <w:tcBorders>
              <w:top w:val="single" w:sz="6" w:space="0" w:color="000000" w:themeColor="text1"/>
              <w:left w:val="nil"/>
              <w:right w:val="nil"/>
            </w:tcBorders>
            <w:tcMar>
              <w:left w:w="90" w:type="dxa"/>
              <w:right w:w="90" w:type="dxa"/>
            </w:tcMar>
          </w:tcPr>
          <w:p w14:paraId="00C00E6D" w14:textId="4FDCF0C2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1.9</w:t>
            </w:r>
          </w:p>
        </w:tc>
        <w:tc>
          <w:tcPr>
            <w:tcW w:w="975" w:type="dxa"/>
            <w:tcBorders>
              <w:left w:val="nil"/>
              <w:right w:val="nil"/>
            </w:tcBorders>
            <w:tcMar>
              <w:left w:w="90" w:type="dxa"/>
              <w:right w:w="90" w:type="dxa"/>
            </w:tcMar>
          </w:tcPr>
          <w:p w14:paraId="5A8ACEFD" w14:textId="12FA1C4B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0.797</w:t>
            </w:r>
          </w:p>
        </w:tc>
        <w:tc>
          <w:tcPr>
            <w:tcW w:w="900" w:type="dxa"/>
            <w:tcBorders>
              <w:left w:val="nil"/>
              <w:right w:val="nil"/>
            </w:tcBorders>
            <w:tcMar>
              <w:left w:w="90" w:type="dxa"/>
              <w:right w:w="90" w:type="dxa"/>
            </w:tcMar>
          </w:tcPr>
          <w:p w14:paraId="55E4E97D" w14:textId="6F30EB08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-1.5</w:t>
            </w:r>
          </w:p>
        </w:tc>
        <w:tc>
          <w:tcPr>
            <w:tcW w:w="1755" w:type="dxa"/>
            <w:tcBorders>
              <w:left w:val="nil"/>
              <w:right w:val="nil"/>
            </w:tcBorders>
            <w:tcMar>
              <w:left w:w="90" w:type="dxa"/>
              <w:right w:w="90" w:type="dxa"/>
            </w:tcMar>
          </w:tcPr>
          <w:p w14:paraId="7704B363" w14:textId="088B8B47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2.0</w:t>
            </w:r>
          </w:p>
        </w:tc>
      </w:tr>
      <w:tr w:rsidR="65F4B62E" w14:paraId="6CA2F79E" w14:textId="77777777" w:rsidTr="65F4B62E">
        <w:trPr>
          <w:trHeight w:val="300"/>
        </w:trPr>
        <w:tc>
          <w:tcPr>
            <w:tcW w:w="1046" w:type="dxa"/>
            <w:tcBorders>
              <w:left w:val="nil"/>
              <w:bottom w:val="single" w:sz="18" w:space="0" w:color="000000" w:themeColor="text1"/>
              <w:right w:val="nil"/>
            </w:tcBorders>
            <w:tcMar>
              <w:left w:w="90" w:type="dxa"/>
              <w:right w:w="90" w:type="dxa"/>
            </w:tcMar>
          </w:tcPr>
          <w:p w14:paraId="63C0C8F5" w14:textId="45D7AE6D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2022</w:t>
            </w:r>
          </w:p>
        </w:tc>
        <w:tc>
          <w:tcPr>
            <w:tcW w:w="1100" w:type="dxa"/>
            <w:tcBorders>
              <w:left w:val="nil"/>
              <w:bottom w:val="single" w:sz="18" w:space="0" w:color="000000" w:themeColor="text1"/>
              <w:right w:val="nil"/>
            </w:tcBorders>
            <w:tcMar>
              <w:left w:w="90" w:type="dxa"/>
              <w:right w:w="90" w:type="dxa"/>
            </w:tcMar>
          </w:tcPr>
          <w:p w14:paraId="65200FB3" w14:textId="08136768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33,8</w:t>
            </w:r>
          </w:p>
        </w:tc>
        <w:tc>
          <w:tcPr>
            <w:tcW w:w="990" w:type="dxa"/>
            <w:tcBorders>
              <w:left w:val="nil"/>
              <w:bottom w:val="single" w:sz="18" w:space="0" w:color="000000" w:themeColor="text1"/>
              <w:right w:val="nil"/>
            </w:tcBorders>
            <w:tcMar>
              <w:left w:w="90" w:type="dxa"/>
              <w:right w:w="90" w:type="dxa"/>
            </w:tcMar>
          </w:tcPr>
          <w:p w14:paraId="58721AC8" w14:textId="5060C8C1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0.872</w:t>
            </w:r>
          </w:p>
        </w:tc>
        <w:tc>
          <w:tcPr>
            <w:tcW w:w="810" w:type="dxa"/>
            <w:tcBorders>
              <w:left w:val="nil"/>
              <w:bottom w:val="single" w:sz="18" w:space="0" w:color="000000" w:themeColor="text1"/>
              <w:right w:val="nil"/>
            </w:tcBorders>
            <w:tcMar>
              <w:left w:w="90" w:type="dxa"/>
              <w:right w:w="90" w:type="dxa"/>
            </w:tcMar>
          </w:tcPr>
          <w:p w14:paraId="0BF9044F" w14:textId="2F4A0CEC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-2,2</w:t>
            </w:r>
          </w:p>
        </w:tc>
        <w:tc>
          <w:tcPr>
            <w:tcW w:w="1575" w:type="dxa"/>
            <w:tcBorders>
              <w:left w:val="nil"/>
              <w:bottom w:val="single" w:sz="18" w:space="0" w:color="000000" w:themeColor="text1"/>
              <w:right w:val="nil"/>
            </w:tcBorders>
            <w:tcMar>
              <w:left w:w="90" w:type="dxa"/>
              <w:right w:w="90" w:type="dxa"/>
            </w:tcMar>
          </w:tcPr>
          <w:p w14:paraId="236E01DE" w14:textId="3BE1E72F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975" w:type="dxa"/>
            <w:tcBorders>
              <w:left w:val="nil"/>
              <w:bottom w:val="single" w:sz="18" w:space="0" w:color="000000" w:themeColor="text1"/>
              <w:right w:val="nil"/>
            </w:tcBorders>
            <w:tcMar>
              <w:left w:w="90" w:type="dxa"/>
              <w:right w:w="90" w:type="dxa"/>
            </w:tcMar>
          </w:tcPr>
          <w:p w14:paraId="49D40331" w14:textId="683A4508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0.781</w:t>
            </w:r>
          </w:p>
        </w:tc>
        <w:tc>
          <w:tcPr>
            <w:tcW w:w="900" w:type="dxa"/>
            <w:tcBorders>
              <w:left w:val="nil"/>
              <w:bottom w:val="single" w:sz="18" w:space="0" w:color="000000" w:themeColor="text1"/>
              <w:right w:val="nil"/>
            </w:tcBorders>
            <w:tcMar>
              <w:left w:w="90" w:type="dxa"/>
              <w:right w:w="90" w:type="dxa"/>
            </w:tcMar>
          </w:tcPr>
          <w:p w14:paraId="104BEA75" w14:textId="63D533D0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-1,6</w:t>
            </w:r>
          </w:p>
        </w:tc>
        <w:tc>
          <w:tcPr>
            <w:tcW w:w="1755" w:type="dxa"/>
            <w:tcBorders>
              <w:left w:val="nil"/>
              <w:bottom w:val="single" w:sz="18" w:space="0" w:color="000000" w:themeColor="text1"/>
              <w:right w:val="nil"/>
            </w:tcBorders>
            <w:tcMar>
              <w:left w:w="90" w:type="dxa"/>
              <w:right w:w="90" w:type="dxa"/>
            </w:tcMar>
          </w:tcPr>
          <w:p w14:paraId="4C7FC437" w14:textId="1527700F" w:rsidR="65F4B62E" w:rsidRDefault="65F4B62E" w:rsidP="65F4B62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65F4B62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</w:tr>
    </w:tbl>
    <w:p w14:paraId="3F229C83" w14:textId="2EF32AA2" w:rsidR="00CD1FBE" w:rsidRDefault="6236D709" w:rsidP="0FF12BA8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FF12BA8">
        <w:rPr>
          <w:rFonts w:ascii="Times New Roman" w:eastAsia="Times New Roman" w:hAnsi="Times New Roman" w:cs="Times New Roman"/>
          <w:sz w:val="24"/>
          <w:szCs w:val="24"/>
        </w:rPr>
        <w:t xml:space="preserve">BMD – </w:t>
      </w:r>
      <w:proofErr w:type="spellStart"/>
      <w:r w:rsidRPr="0FF12BA8">
        <w:rPr>
          <w:rFonts w:ascii="Times New Roman" w:eastAsia="Times New Roman" w:hAnsi="Times New Roman" w:cs="Times New Roman"/>
          <w:i/>
          <w:iCs/>
          <w:sz w:val="24"/>
          <w:szCs w:val="24"/>
        </w:rPr>
        <w:t>bone</w:t>
      </w:r>
      <w:proofErr w:type="spellEnd"/>
      <w:r w:rsidRPr="0FF12B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FF12BA8">
        <w:rPr>
          <w:rFonts w:ascii="Times New Roman" w:eastAsia="Times New Roman" w:hAnsi="Times New Roman" w:cs="Times New Roman"/>
          <w:i/>
          <w:iCs/>
          <w:sz w:val="24"/>
          <w:szCs w:val="24"/>
        </w:rPr>
        <w:t>mineral</w:t>
      </w:r>
      <w:proofErr w:type="spellEnd"/>
      <w:r w:rsidRPr="0FF12BA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FF12BA8">
        <w:rPr>
          <w:rFonts w:ascii="Times New Roman" w:eastAsia="Times New Roman" w:hAnsi="Times New Roman" w:cs="Times New Roman"/>
          <w:i/>
          <w:iCs/>
          <w:sz w:val="24"/>
          <w:szCs w:val="24"/>
        </w:rPr>
        <w:t>density</w:t>
      </w:r>
      <w:proofErr w:type="spellEnd"/>
    </w:p>
    <w:p w14:paraId="03232B8A" w14:textId="238B0524" w:rsidR="0FF12BA8" w:rsidRDefault="0FF12BA8" w:rsidP="0FF12BA8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</w:p>
    <w:p w14:paraId="619B894A" w14:textId="753E6E96" w:rsidR="00CD1FBE" w:rsidRDefault="34C0116C" w:rsidP="34C01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7D6BC577">
        <w:rPr>
          <w:rFonts w:ascii="Times New Roman" w:eastAsia="Times New Roman" w:hAnsi="Times New Roman" w:cs="Times New Roman"/>
          <w:sz w:val="24"/>
          <w:szCs w:val="24"/>
        </w:rPr>
        <w:t>Częstość występowania PLO szacuje się na 4-8 przypadków na 1 000 000 kobiet w ciąży [6]. Jest ona jednak prawdopodobnie wyższa, ze względu na niezdiagnozowane przypadki [1]. Jednym z najczęstszych objawów PLO jest ból pleców spowodowany złamaniami kręgów - są one uważane za cechę charakterystyczną tego zaburzenia</w:t>
      </w:r>
      <w:r w:rsidRPr="7D6BC57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Objawy zwykle pojawiają się w III trymestrze ciąży lub niedługo po urodzeniu dziecka [3]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. Złamania kompresyjne prowadzą do 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utraty wzrostu [2,6]. Ciąża i laktacja mają istotny wpływ na metabolizm wapnia i fizjologię szkieletu matki. Szkielet płodu zawiera około 25–30 g wapnia w momencie porodu, co odpowiada około 3% zawartości wapnia w szkielecie matki [11]. W czasie ciąży dochodzi do dwukrotnie szybszego wchłaniania wapnia w jelitach ciężarnej, które jest zależne od poziomu 1,25-OH D [12, 13]. Ten proces rozpoczyna się już w I trymestrze ciąży. Ponieważ płód na tym etapie rozwoju nie ma tak wysokiego zapotrzebowania na wapń, dochodzi do jego zwiększonego wydalania z moczem. Poziom </w:t>
      </w:r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>parathormonu</w:t>
      </w:r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BB3FB8" w:rsidRPr="7D6BC577">
        <w:rPr>
          <w:rFonts w:ascii="Times New Roman" w:eastAsia="Times New Roman" w:hAnsi="Times New Roman" w:cs="Times New Roman"/>
          <w:sz w:val="24"/>
          <w:szCs w:val="24"/>
        </w:rPr>
        <w:t xml:space="preserve">PTH,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parathormone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>) spada, za to wzrasta poziom peptydu strukturalnie zbliżonego do parathormonu (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PTHrp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parathormone</w:t>
      </w:r>
      <w:proofErr w:type="spellEnd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related</w:t>
      </w:r>
      <w:proofErr w:type="spellEnd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7D6BC577">
        <w:rPr>
          <w:rFonts w:ascii="Times New Roman" w:eastAsia="Times New Roman" w:hAnsi="Times New Roman" w:cs="Times New Roman"/>
          <w:i/>
          <w:iCs/>
          <w:sz w:val="24"/>
          <w:szCs w:val="24"/>
        </w:rPr>
        <w:t>peptide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) wytwarzanego przez łożysko i piersi [12]. Rola tej cząsteczki polega na regulacji przezłożyskowego transportu wapnia do płodu i wzroście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hydroksylacji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witaminy D. U ciężarnej odpowiada on za resorpcję tkanki kostnej kości i wzrost markerów resorpcji [13, 14]. Do 9 miesiąca życia niemowlę gromadzi średnio 30g wapnia. Oznacza to, że utrata wapnia u karmiącej matki w tym czasie jest około dwukrotnie większa niż w czasie ciąży. Jest to konieczne by zapewnić wystarczającą podaż wapnia w mleku. Proces ten jest realizowany przez osteoklasty, osteocyty a stymulowany przez </w:t>
      </w:r>
      <w:proofErr w:type="spellStart"/>
      <w:r w:rsidRPr="7D6BC577">
        <w:rPr>
          <w:rFonts w:ascii="Times New Roman" w:eastAsia="Times New Roman" w:hAnsi="Times New Roman" w:cs="Times New Roman"/>
          <w:sz w:val="24"/>
          <w:szCs w:val="24"/>
        </w:rPr>
        <w:t>PTHrp</w:t>
      </w:r>
      <w:proofErr w:type="spellEnd"/>
      <w:r w:rsidRPr="7D6BC577">
        <w:rPr>
          <w:rFonts w:ascii="Times New Roman" w:eastAsia="Times New Roman" w:hAnsi="Times New Roman" w:cs="Times New Roman"/>
          <w:sz w:val="24"/>
          <w:szCs w:val="24"/>
        </w:rPr>
        <w:t xml:space="preserve"> i zaburzoną proporcje prolaktyny do estrogenów [13].</w:t>
      </w:r>
    </w:p>
    <w:p w14:paraId="78F58D8A" w14:textId="654CAD38" w:rsidR="00CD1FBE" w:rsidRDefault="34C0116C" w:rsidP="34C01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Diagnostyka osteoporozy polega na wykazaniu niskiej gęstość mineralnej kości w badaniu </w:t>
      </w:r>
      <w:r w:rsidR="00366F7F">
        <w:rPr>
          <w:rFonts w:ascii="Verdana" w:hAnsi="Verdana"/>
          <w:color w:val="333333"/>
          <w:sz w:val="21"/>
          <w:szCs w:val="21"/>
          <w:shd w:val="clear" w:color="auto" w:fill="FFFFFF"/>
        </w:rPr>
        <w:t xml:space="preserve">dwuwiązkowej </w:t>
      </w:r>
      <w:proofErr w:type="spellStart"/>
      <w:r w:rsidR="00366F7F">
        <w:rPr>
          <w:rFonts w:ascii="Verdana" w:hAnsi="Verdana"/>
          <w:color w:val="333333"/>
          <w:sz w:val="21"/>
          <w:szCs w:val="21"/>
          <w:shd w:val="clear" w:color="auto" w:fill="FFFFFF"/>
        </w:rPr>
        <w:t>absorpcjometrii</w:t>
      </w:r>
      <w:proofErr w:type="spellEnd"/>
      <w:r w:rsidR="00366F7F">
        <w:rPr>
          <w:rFonts w:ascii="Verdana" w:hAnsi="Verdana"/>
          <w:color w:val="333333"/>
          <w:sz w:val="21"/>
          <w:szCs w:val="21"/>
          <w:shd w:val="clear" w:color="auto" w:fill="FFFFFF"/>
        </w:rPr>
        <w:t xml:space="preserve"> rentgenowskiej</w:t>
      </w:r>
      <w:r w:rsidR="00366F7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34C0116C">
        <w:rPr>
          <w:rFonts w:ascii="Times New Roman" w:eastAsia="Times New Roman" w:hAnsi="Times New Roman" w:cs="Times New Roman"/>
          <w:sz w:val="24"/>
          <w:szCs w:val="24"/>
        </w:rPr>
        <w:t>(</w:t>
      </w:r>
      <w:r w:rsidR="00366F7F">
        <w:rPr>
          <w:rFonts w:ascii="Times New Roman" w:eastAsia="Times New Roman" w:hAnsi="Times New Roman" w:cs="Times New Roman"/>
          <w:sz w:val="24"/>
          <w:szCs w:val="24"/>
        </w:rPr>
        <w:t xml:space="preserve">DXA, </w:t>
      </w:r>
      <w:r w:rsidRPr="34C0116C">
        <w:rPr>
          <w:rFonts w:ascii="Times New Roman" w:eastAsia="Times New Roman" w:hAnsi="Times New Roman" w:cs="Times New Roman"/>
          <w:sz w:val="24"/>
          <w:szCs w:val="24"/>
        </w:rPr>
        <w:t>Dual-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energy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X-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ray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absorptiometry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>) w zakresie kręgosłupa lub kości udowej.  Wartość Z-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score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34C0116C">
        <w:rPr>
          <w:rFonts w:ascii="Cambria Math" w:eastAsia="Cambria Math" w:hAnsi="Cambria Math" w:cs="Cambria Math"/>
          <w:sz w:val="24"/>
          <w:szCs w:val="24"/>
        </w:rPr>
        <w:t>≤</w:t>
      </w:r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-2.0 wskazuje na osteoporozę [1]. W PLO dochodzi do spadku BMD o 3-10% po 2-6 miesiącach laktacji [4, 13]. Największy spadek dotyczy trzonów kręgów z racji beleczkowej budowy trzonów. Badania obrazowe najczęściej wykazują kilka złamań, głównie trzonów kręgowych Th11-L4. Istnieją jednak różnice osobnicze w zakresie spadku BMD - niektóre kobiety tracą do 20% BMD kręgosłupa lędźwiowego [1]. Obserwowany spadek BMD jest proporcjonalny do czasu karmienia piersią [15]. Jednakże wykazano, że u części kobiet BMD zaczyna rosnąć po powrocie miesiączki, nawet jeśli nadal trwa karmienie piersią [16]. Zwykle w normie są: poziom PTH, stężenie wapnia i fosforu,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kalciuria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dobowa. Może wystąpić niedobór witaminy D [3]. U naszej pacjentki wszystkie te parametry były prawidłowe. Tempo wzrostu BMD różni się w zależności od lokalizacji szkieletu [1, 15]. Jednak zmiany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mikroarchitektury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: zwiększona porowatość kości korowej, zmniejszona liczba i separacja beleczek kostnych mogą utrzymywać się ponad 2 lata po zaprzestaniu karmienia piersią [17]. </w:t>
      </w:r>
    </w:p>
    <w:p w14:paraId="2C0CDB4F" w14:textId="77777777" w:rsidR="00CD1FBE" w:rsidRDefault="34C0116C" w:rsidP="34C01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34C0116C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Leczenie farmakologiczne PLO i jego długość pozostaje kwestią kontrowersyjną. W czasie ciąży i laktacji dochodzi do naturalnej utraty BMD, jednak u części pacjentek następuje samoistna poprawa w czasie 6-12 miesięcy [18]. Leki wykorzystywane do leczenia PLO: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bisfosfoniany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denosumab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czy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teryparatyd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nie są zalecane do stosowania w czasie ciąży i okresie karmienia piersią [1]. </w:t>
      </w:r>
    </w:p>
    <w:p w14:paraId="214032E3" w14:textId="2B93A238" w:rsidR="00CD1FBE" w:rsidRDefault="34C0116C" w:rsidP="34C0116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Obok farmakoterapii leczenie polega na odpowiedniej diecie i rehabilitacji. Konieczne jest usunięcie modyfikowalnych czynników ryzyka osteoporozy i złamań. Należy również kontrolować gospodarkę wapniowo-fosforanową i stężenie 25(OH)D w surowicy. Standardy leczenia PLO nie są ustalone [3]. Zaleca się przyjmowanie preparatów wapnia, witaminy D oraz przerwanie karmienia piersią. Zmniejsza to stężenie markerów resorpcji kości [19]. Zastosowanie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bisfosfonianów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 powoduje wzrost BMD do 35%, wymaga jednak zawsze kompleksowej oceny [4, 10].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Bisfosfoniany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odkładają się w tkance kostnej przez wiele lat, mogą przenikać przez łożysko, ale ich potencjalnie szkodliwy wpływ na płód nie został ostatecznie oceniony. Pojedyncze publikacje dotyczące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denosumabu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wskazują na jego skuteczność. Są to jednak wskazania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pozarejestracyjne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(off-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label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) oparte na analizie przypadków i badaniach retrospektywnych (20). Działa on szybciej w porównaniu z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bisfosfonianami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, dając wyższe przyrosty BMD, a poprawa BMD następuje po 6 miesiącach [20]. </w:t>
      </w:r>
      <w:r w:rsidRPr="34C0116C">
        <w:rPr>
          <w:rFonts w:ascii="Cambria" w:eastAsia="Cambria" w:hAnsi="Cambria" w:cs="Cambria"/>
          <w:color w:val="212121"/>
          <w:sz w:val="30"/>
          <w:szCs w:val="30"/>
        </w:rPr>
        <w:t xml:space="preserve"> </w:t>
      </w:r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Jednakże po odstawieniu leku następuje zwiększenie obrotu kostnego, co zwiększa ryzyko wielomiejscowych złamań kręgosłupa u kobiet po menopauzie, które przybyły już takie złamania. Długoterminowe leczenie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denosumabem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może wiązać się z ryzykiem działań niepożądanych: martwicy kości szczęki czy złamań atypowych kości udowej [1]. Skuteczne jest także sekwencyjne roczne leczenie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teryparatydem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, a następnie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denosumabem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dając wzrost BMD kręgosłupa o 16,6% [3]. </w:t>
      </w:r>
    </w:p>
    <w:p w14:paraId="3DEEC669" w14:textId="77777777" w:rsidR="00CD1FBE" w:rsidRDefault="00CD1FBE" w:rsidP="34C01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4C4A8F" w14:textId="499B4129" w:rsidR="00CD1FBE" w:rsidRDefault="1C380739" w:rsidP="1D499500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D499500">
        <w:rPr>
          <w:rFonts w:ascii="Times New Roman" w:eastAsia="Times New Roman" w:hAnsi="Times New Roman" w:cs="Times New Roman"/>
          <w:sz w:val="24"/>
          <w:szCs w:val="24"/>
        </w:rPr>
        <w:t>Podsumowanie</w:t>
      </w:r>
    </w:p>
    <w:p w14:paraId="7D17077D" w14:textId="77777777" w:rsidR="00CD1FBE" w:rsidRDefault="466E9FA8">
      <w:pPr>
        <w:spacing w:line="360" w:lineRule="auto"/>
        <w:jc w:val="both"/>
      </w:pPr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Kobiety, które zgłaszają długotrwały, oporny na leczenie ból pleców, obniżenie wzrostu w zaawansowanej ciąży lub w okresie laktacji powinny być diagnozowane w kierunku PLO. Wymagają one szczegółowej diagnostyki różnicowej oraz wykluczenie innych przyczyn wtórnej osteoporozy. Rozpoznanie powinno obejmować zebranie dokładnego wywiadu pod kątem czynników ryzyka, rodzinnej historii osteoporozy, przebiegu ciąż i dolegliwości bólowych.  Badanie poziomu wapnia, MRI oraz densytometrii (po porodzie) pełnią kluczową rolę w </w:t>
      </w:r>
      <w:r w:rsidRPr="34C0116C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postawieniu rozpoznania choroby i monitorowaniu leczenia. Obecnie nie ma wytycznych leczenia PLO. Terapia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denosumabem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jest potencjalną alternatywą do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bisfosfonianów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z uwagi na szybki efekt, niskie ryzyko działań niepożądanych, brak kumulacji leku w tkance kostnej.</w:t>
      </w:r>
    </w:p>
    <w:p w14:paraId="3656B9AB" w14:textId="77777777" w:rsidR="00CD1FBE" w:rsidRDefault="00CD1FBE" w:rsidP="34C0116C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E91AB96" w14:textId="77777777" w:rsidR="00CD1FBE" w:rsidRDefault="466E9FA8">
      <w:pPr>
        <w:spacing w:line="360" w:lineRule="auto"/>
      </w:pPr>
      <w:r>
        <w:rPr>
          <w:rFonts w:ascii="Times New Roman" w:eastAsia="Times New Roman" w:hAnsi="Times New Roman" w:cs="Times New Roman"/>
          <w:b/>
          <w:sz w:val="24"/>
        </w:rPr>
        <w:t>Bibliografia</w:t>
      </w:r>
    </w:p>
    <w:p w14:paraId="0DCE000D" w14:textId="77777777" w:rsidR="00CD1FBE" w:rsidRPr="001C5882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</w:pPr>
      <w:proofErr w:type="spellStart"/>
      <w:r w:rsidRPr="001C5882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>Hardcastle</w:t>
      </w:r>
      <w:proofErr w:type="spellEnd"/>
      <w:r w:rsidRPr="001C5882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 xml:space="preserve"> SA. "Pregnancy and Lactation Associated Osteoporosis". </w:t>
      </w:r>
      <w:proofErr w:type="spellStart"/>
      <w:r w:rsidRPr="001C5882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>Calcif</w:t>
      </w:r>
      <w:proofErr w:type="spellEnd"/>
      <w:r w:rsidRPr="001C5882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 xml:space="preserve"> Tissue Int. 2022 May;110(5):531-545. </w:t>
      </w:r>
      <w:proofErr w:type="spellStart"/>
      <w:r w:rsidRPr="001C5882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>doi</w:t>
      </w:r>
      <w:proofErr w:type="spellEnd"/>
      <w:r w:rsidRPr="001C5882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 xml:space="preserve">: 10.1007/s00223-021-00815-6. </w:t>
      </w:r>
    </w:p>
    <w:p w14:paraId="6DCC159C" w14:textId="77777777" w:rsidR="00CD1FBE" w:rsidRPr="00BB3FB8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Smith R,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Athanasou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Ostlere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 Pregnancy associated osteoporosis QJM. 1995; 88: 865–878.</w:t>
      </w:r>
    </w:p>
    <w:p w14:paraId="4A8B88D2" w14:textId="77777777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34C0116C">
        <w:rPr>
          <w:rFonts w:ascii="Times New Roman" w:eastAsia="Times New Roman" w:hAnsi="Times New Roman" w:cs="Times New Roman"/>
          <w:sz w:val="24"/>
          <w:szCs w:val="24"/>
        </w:rPr>
        <w:t>Urban-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Mocek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M. B, Szymczak J; Osteoporoza związana z ciążą i laktacją; Forum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Reumatol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. Via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Medica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>. 2019, tom 5, nr 2, 97-98.</w:t>
      </w:r>
    </w:p>
    <w:p w14:paraId="3F396552" w14:textId="77777777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proofErr w:type="spellStart"/>
      <w:r w:rsidRPr="00BB3FB8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>Misiorowski</w:t>
      </w:r>
      <w:proofErr w:type="spellEnd"/>
      <w:r w:rsidRPr="00BB3FB8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 xml:space="preserve"> W. Pregnancy- and lactation-related osteoporosis: an important topic also for rheumatologists. </w:t>
      </w:r>
      <w:proofErr w:type="spellStart"/>
      <w:r w:rsidRPr="34C0116C">
        <w:rPr>
          <w:rFonts w:ascii="Times New Roman" w:eastAsia="Times New Roman" w:hAnsi="Times New Roman" w:cs="Times New Roman"/>
          <w:color w:val="212121"/>
          <w:sz w:val="24"/>
          <w:szCs w:val="24"/>
        </w:rPr>
        <w:t>Rheumatology</w:t>
      </w:r>
      <w:proofErr w:type="spellEnd"/>
      <w:r w:rsidRPr="34C0116C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. 2023;61(4):223-224. </w:t>
      </w:r>
    </w:p>
    <w:p w14:paraId="0F2356AA" w14:textId="77777777" w:rsidR="00CD1FBE" w:rsidRPr="001C5882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Laroche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Talibart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M, Cormier C, et al. </w:t>
      </w:r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Pregnancy-related fractures: a retrospective study of a French cohort of 52 patients and review of the literature. </w:t>
      </w:r>
      <w:proofErr w:type="spellStart"/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>Osteoporos</w:t>
      </w:r>
      <w:proofErr w:type="spellEnd"/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Int. 2017;28(11): 3135–3142, </w:t>
      </w:r>
      <w:proofErr w:type="spellStart"/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>doi</w:t>
      </w:r>
      <w:proofErr w:type="spellEnd"/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>: 10.1007/s00198-017-4165-2.</w:t>
      </w:r>
    </w:p>
    <w:p w14:paraId="34CB482A" w14:textId="792444B3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Hadji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Boekhoff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J, Hahn M,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Hellmeyer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Hars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Kyvernitakis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Grizzo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FMF et al (2017) Pregnancy-associated osteoporosis: a case-control study.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Osteoporos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Int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28:1393–1399.</w:t>
      </w:r>
      <w:r w:rsidR="67CC11CB"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67CC11CB"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doi</w:t>
      </w:r>
      <w:proofErr w:type="spellEnd"/>
      <w:r w:rsidR="67CC11CB"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: </w:t>
      </w:r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10.1007/s00198-016-3897-8. </w:t>
      </w:r>
    </w:p>
    <w:p w14:paraId="3DBACCD8" w14:textId="77777777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Dunne F, Walters B, Marshall T, Heath DA (1993) Pregnancy associated osteoporosis.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Clin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Endocrinol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Oxf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) 39:487–490.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https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://doi.org/10.1111/j.1365-2265.1993.tb02398.x </w:t>
      </w:r>
    </w:p>
    <w:p w14:paraId="07686D9D" w14:textId="77737E46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Cook FJ, Mumm S, Whyte MP,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Wenkert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 (2014) Pregnancy- associated osteoporosis with a heterozygous deactivating LDL receptor-related protein 5 (LRP5) mutation and a homozygous methylenetetrahydrofolate reductase (MTHFR) polymorphism. J Bone Miner Res 29:922–928. </w:t>
      </w:r>
      <w:proofErr w:type="spellStart"/>
      <w:r w:rsidR="4FF5F53A"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doi</w:t>
      </w:r>
      <w:proofErr w:type="spellEnd"/>
      <w:r w:rsidR="4FF5F53A"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: </w:t>
      </w:r>
      <w:r w:rsidRPr="34C0116C">
        <w:rPr>
          <w:rFonts w:ascii="Times New Roman" w:eastAsia="Times New Roman" w:hAnsi="Times New Roman" w:cs="Times New Roman"/>
          <w:sz w:val="24"/>
          <w:szCs w:val="24"/>
          <w:lang w:val="en-US"/>
        </w:rPr>
        <w:t>10.1007/s00198-021-06008-z.</w:t>
      </w:r>
    </w:p>
    <w:p w14:paraId="54101A19" w14:textId="77777777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Cerit</w:t>
      </w:r>
      <w:proofErr w:type="spellEnd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ET, </w:t>
      </w:r>
      <w:proofErr w:type="spellStart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Cerit</w:t>
      </w:r>
      <w:proofErr w:type="spellEnd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M; A case of pregnancy and lactation associated osteoporosis in the third pregnancy; robust response to </w:t>
      </w:r>
      <w:proofErr w:type="spellStart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teriparatide</w:t>
      </w:r>
      <w:proofErr w:type="spellEnd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despite delayed administration; </w:t>
      </w:r>
      <w:proofErr w:type="spellStart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BoneRep</w:t>
      </w:r>
      <w:proofErr w:type="spellEnd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Pr="34C0116C">
        <w:rPr>
          <w:rFonts w:ascii="Times New Roman" w:eastAsia="Times New Roman" w:hAnsi="Times New Roman" w:cs="Times New Roman"/>
          <w:color w:val="000000"/>
          <w:sz w:val="24"/>
          <w:szCs w:val="24"/>
        </w:rPr>
        <w:t>2020; 13:1-3.</w:t>
      </w:r>
    </w:p>
    <w:p w14:paraId="01D080AC" w14:textId="77777777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r w:rsidRPr="00BB3FB8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lastRenderedPageBreak/>
        <w:t xml:space="preserve">Nagai T, Kuroda T, Ishikawa K, Sakamoto K, </w:t>
      </w:r>
      <w:proofErr w:type="spellStart"/>
      <w:r w:rsidRPr="00BB3FB8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>Shirato</w:t>
      </w:r>
      <w:proofErr w:type="spellEnd"/>
      <w:r w:rsidRPr="00BB3FB8">
        <w:rPr>
          <w:rFonts w:ascii="Times New Roman" w:eastAsia="Times New Roman" w:hAnsi="Times New Roman" w:cs="Times New Roman"/>
          <w:color w:val="212121"/>
          <w:sz w:val="24"/>
          <w:szCs w:val="24"/>
          <w:lang w:val="en-US"/>
        </w:rPr>
        <w:t xml:space="preserve"> N, Kudo Y. Pregnancy- and lactation-associated osteoporosis in the mother after the first and second children: A case report. </w:t>
      </w:r>
      <w:proofErr w:type="spellStart"/>
      <w:r w:rsidRPr="34C0116C">
        <w:rPr>
          <w:rFonts w:ascii="Times New Roman" w:eastAsia="Times New Roman" w:hAnsi="Times New Roman" w:cs="Times New Roman"/>
          <w:color w:val="212121"/>
          <w:sz w:val="24"/>
          <w:szCs w:val="24"/>
        </w:rPr>
        <w:t>Int</w:t>
      </w:r>
      <w:proofErr w:type="spellEnd"/>
      <w:r w:rsidRPr="34C0116C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J </w:t>
      </w:r>
      <w:proofErr w:type="spellStart"/>
      <w:r w:rsidRPr="34C0116C">
        <w:rPr>
          <w:rFonts w:ascii="Times New Roman" w:eastAsia="Times New Roman" w:hAnsi="Times New Roman" w:cs="Times New Roman"/>
          <w:color w:val="212121"/>
          <w:sz w:val="24"/>
          <w:szCs w:val="24"/>
        </w:rPr>
        <w:t>Surg</w:t>
      </w:r>
      <w:proofErr w:type="spellEnd"/>
      <w:r w:rsidRPr="34C0116C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Case Rep. 2023 </w:t>
      </w:r>
      <w:proofErr w:type="spellStart"/>
      <w:r w:rsidRPr="34C0116C">
        <w:rPr>
          <w:rFonts w:ascii="Times New Roman" w:eastAsia="Times New Roman" w:hAnsi="Times New Roman" w:cs="Times New Roman"/>
          <w:color w:val="212121"/>
          <w:sz w:val="24"/>
          <w:szCs w:val="24"/>
        </w:rPr>
        <w:t>Aug</w:t>
      </w:r>
      <w:proofErr w:type="spellEnd"/>
      <w:r w:rsidRPr="34C0116C">
        <w:rPr>
          <w:rFonts w:ascii="Times New Roman" w:eastAsia="Times New Roman" w:hAnsi="Times New Roman" w:cs="Times New Roman"/>
          <w:color w:val="212121"/>
          <w:sz w:val="24"/>
          <w:szCs w:val="24"/>
        </w:rPr>
        <w:t>; 109:108464. doi: 10.1016/j.ijscr.2023.108464.</w:t>
      </w:r>
    </w:p>
    <w:p w14:paraId="34E6531C" w14:textId="77777777" w:rsidR="00CD1FBE" w:rsidRDefault="34C0116C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Kalkwarf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HJ (2006) Calcium in pregnancy and lactation. In: Weaver CM, Heaney RP (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eds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Calcium in human health. </w:t>
      </w:r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Humana Press,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Totowa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pp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297–309. </w:t>
      </w:r>
    </w:p>
    <w:p w14:paraId="0D74FC42" w14:textId="77777777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Kovacs C,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Kronenberg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 (2013) Pregnancy and lactation. In: Rosen C (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Primer on the metabolic bone diseases and disorders of mineral metabolism, 8th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edn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Wiley-Blackwell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Ames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pp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156–164.</w:t>
      </w:r>
    </w:p>
    <w:p w14:paraId="40D257AC" w14:textId="77777777" w:rsidR="00CD1FBE" w:rsidRPr="001C5882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Kovacs CS. Maternal Mineral and Bone Metabolism During Pregnancy, Lactation, and Post-Weaning Recovery. </w:t>
      </w:r>
      <w:proofErr w:type="spellStart"/>
      <w:r w:rsidRPr="001C5882">
        <w:rPr>
          <w:rFonts w:ascii="Times New Roman" w:eastAsia="Times New Roman" w:hAnsi="Times New Roman" w:cs="Times New Roman"/>
          <w:sz w:val="24"/>
          <w:szCs w:val="24"/>
          <w:lang w:val="en-GB"/>
        </w:rPr>
        <w:t>Physiol</w:t>
      </w:r>
      <w:proofErr w:type="spellEnd"/>
      <w:r w:rsidRPr="001C588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Rev. 2016 Apr;96(2):449-547. </w:t>
      </w:r>
      <w:proofErr w:type="spellStart"/>
      <w:r w:rsidRPr="001C5882">
        <w:rPr>
          <w:rFonts w:ascii="Times New Roman" w:eastAsia="Times New Roman" w:hAnsi="Times New Roman" w:cs="Times New Roman"/>
          <w:sz w:val="24"/>
          <w:szCs w:val="24"/>
          <w:lang w:val="en-GB"/>
        </w:rPr>
        <w:t>doi</w:t>
      </w:r>
      <w:proofErr w:type="spellEnd"/>
      <w:r w:rsidRPr="001C5882">
        <w:rPr>
          <w:rFonts w:ascii="Times New Roman" w:eastAsia="Times New Roman" w:hAnsi="Times New Roman" w:cs="Times New Roman"/>
          <w:sz w:val="24"/>
          <w:szCs w:val="24"/>
          <w:lang w:val="en-GB"/>
        </w:rPr>
        <w:t>: 10.1152/physrev.00027.2015.</w:t>
      </w:r>
    </w:p>
    <w:p w14:paraId="51F7E1DD" w14:textId="77777777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Naylor KE, Iqbal P,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Fledelius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C, Fraser RB,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Eastell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R. The effect of pregnancy on bone density and bone turnover. </w:t>
      </w:r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J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Bone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Miner Res. 2000 Jan;15(1):129-37. doi: 10.1359/jbmr.2000.15.1.129. </w:t>
      </w:r>
    </w:p>
    <w:p w14:paraId="65A04F13" w14:textId="77777777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Sowers M,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Corton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G, Shapiro B,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Jannausch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ML, Crutchfield M, Smith ML, Randolph JF, Hollis B. Changes in bone density with lactation. </w:t>
      </w:r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JAMA. 1993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Jun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23-30;269(24):3130-5. </w:t>
      </w:r>
    </w:p>
    <w:p w14:paraId="76C9F02D" w14:textId="77777777" w:rsidR="00CD1FBE" w:rsidRDefault="466E9FA8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Holmberg-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Marttila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Sievänen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Laippala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Tuimala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R. Factors underlying changes in bone mineral during postpartum amenorrhea and lactation.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Osteoporos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Int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. 2000;11(7):570-6. doi: 10.1007/s001980070077. </w:t>
      </w:r>
    </w:p>
    <w:p w14:paraId="5F48B37E" w14:textId="77777777" w:rsidR="00CD1FBE" w:rsidRDefault="34C0116C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Bjørnerem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Å,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Ghasem-Zadeh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A, Wang X, Bui M, Walker SP,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Zebaze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Seeman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E. Irreversible Deterioration of Cortical and Trabecular Microstructure Associated With Breastfeeding. </w:t>
      </w:r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J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Bone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Miner Res. 2017 Apr;32(4):681-687. doi: 10.1002/jbmr.3018. </w:t>
      </w:r>
    </w:p>
    <w:p w14:paraId="5D37E350" w14:textId="77777777" w:rsidR="00CD1FBE" w:rsidRPr="001C5882" w:rsidRDefault="34C0116C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Kovacs CS, Ralston SH. Presentation and management of osteoporosis presenting in association with pregnancy or lactation. </w:t>
      </w:r>
      <w:proofErr w:type="spellStart"/>
      <w:r w:rsidRPr="001C5882">
        <w:rPr>
          <w:rFonts w:ascii="Times New Roman" w:eastAsia="Times New Roman" w:hAnsi="Times New Roman" w:cs="Times New Roman"/>
          <w:sz w:val="24"/>
          <w:szCs w:val="24"/>
          <w:lang w:val="en-GB"/>
        </w:rPr>
        <w:t>Osteoporos</w:t>
      </w:r>
      <w:proofErr w:type="spellEnd"/>
      <w:r w:rsidRPr="001C588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Int. 2015 Sep;26(9):2223-41. </w:t>
      </w:r>
      <w:proofErr w:type="spellStart"/>
      <w:r w:rsidRPr="001C5882">
        <w:rPr>
          <w:rFonts w:ascii="Times New Roman" w:eastAsia="Times New Roman" w:hAnsi="Times New Roman" w:cs="Times New Roman"/>
          <w:sz w:val="24"/>
          <w:szCs w:val="24"/>
          <w:lang w:val="en-GB"/>
        </w:rPr>
        <w:t>doi</w:t>
      </w:r>
      <w:proofErr w:type="spellEnd"/>
      <w:r w:rsidRPr="001C5882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: 10.1007/s00198-015-3149-3. </w:t>
      </w:r>
    </w:p>
    <w:p w14:paraId="47774905" w14:textId="77777777" w:rsidR="00CD1FBE" w:rsidRPr="001C5882" w:rsidRDefault="34C0116C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Ettinger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AS,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Lamadrid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-Figueroa H, Mercado-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García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Kordas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K, Wood RJ, Peterson KE, Hu H, Hernández-Avila M,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Téllez-Rojo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MM. </w:t>
      </w:r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Effect of calcium supplementation on bone resorption in pregnancy and the early postpartum: a randomized controlled trial in Mexican women. </w:t>
      </w:r>
      <w:proofErr w:type="spellStart"/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>Nutr</w:t>
      </w:r>
      <w:proofErr w:type="spellEnd"/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J. 2014 Dec 16;13(1):116. </w:t>
      </w:r>
      <w:proofErr w:type="spellStart"/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>doi</w:t>
      </w:r>
      <w:proofErr w:type="spellEnd"/>
      <w:r w:rsidRPr="001C588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: 10.1186/1475-2891-13-116. </w:t>
      </w:r>
    </w:p>
    <w:p w14:paraId="20365E49" w14:textId="77777777" w:rsidR="00CD1FBE" w:rsidRDefault="34C0116C" w:rsidP="4FEF0C0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Stumpf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U, Kraus M,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Hadji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P. Influence of </w:t>
      </w:r>
      <w:proofErr w:type="spellStart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denosumab</w:t>
      </w:r>
      <w:proofErr w:type="spellEnd"/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 bone mineral density in a severe case of pregnancy-associated osteoporosis.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Osteoporos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Int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. 2021 Nov;32(11):2383-2387. doi: 10.1007/s00198-021-06008-z. </w:t>
      </w:r>
    </w:p>
    <w:p w14:paraId="45FB0818" w14:textId="77777777" w:rsidR="00CD1FBE" w:rsidRDefault="00CD1FBE" w:rsidP="34C0116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49F31CB" w14:textId="77777777" w:rsidR="00CD1FBE" w:rsidRDefault="00CD1FBE" w:rsidP="34C0116C">
      <w:pPr>
        <w:spacing w:line="360" w:lineRule="auto"/>
        <w:rPr>
          <w:rFonts w:ascii="Calibri" w:eastAsia="Calibri" w:hAnsi="Calibri" w:cs="Calibri"/>
        </w:rPr>
      </w:pPr>
    </w:p>
    <w:p w14:paraId="53128261" w14:textId="77777777" w:rsidR="00CD1FBE" w:rsidRDefault="00CD1FBE" w:rsidP="34C0116C">
      <w:pPr>
        <w:spacing w:line="360" w:lineRule="auto"/>
        <w:rPr>
          <w:rFonts w:ascii="Calibri" w:eastAsia="Calibri" w:hAnsi="Calibri" w:cs="Calibri"/>
        </w:rPr>
      </w:pPr>
    </w:p>
    <w:p w14:paraId="62486C05" w14:textId="77777777" w:rsidR="00CD1FBE" w:rsidRDefault="00CD1FBE" w:rsidP="34C01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101652C" w14:textId="77777777" w:rsidR="00CD1FBE" w:rsidRDefault="00CD1FBE" w:rsidP="34C0116C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2392E67" w14:textId="77777777" w:rsidR="00CD1FBE" w:rsidRPr="00BB3FB8" w:rsidRDefault="34C0116C" w:rsidP="34C0116C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BB3FB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Treating pregnancy and lactation-associated osteoporosis with </w:t>
      </w:r>
      <w:proofErr w:type="spellStart"/>
      <w:r w:rsidRPr="00BB3FB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denosumab</w:t>
      </w:r>
      <w:proofErr w:type="spellEnd"/>
      <w:r w:rsidRPr="00BB3FB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</w:p>
    <w:p w14:paraId="08423271" w14:textId="77777777" w:rsidR="00CD1FBE" w:rsidRPr="00BB3FB8" w:rsidRDefault="34C0116C" w:rsidP="34C01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B3FB8">
        <w:rPr>
          <w:rFonts w:ascii="Times New Roman" w:eastAsia="Times New Roman" w:hAnsi="Times New Roman" w:cs="Times New Roman"/>
          <w:sz w:val="24"/>
          <w:szCs w:val="24"/>
          <w:lang w:val="en-US"/>
        </w:rPr>
        <w:t>Summary</w:t>
      </w:r>
    </w:p>
    <w:p w14:paraId="125EF7E2" w14:textId="77777777" w:rsidR="00CD1FBE" w:rsidRPr="00BB3FB8" w:rsidRDefault="34C0116C" w:rsidP="34C0116C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Osteoporosis related to pregnancy and lactation is a rare, secondary form of osteoporosis. It involves a decrease in bone mineral density and disturbances in microarchitecture, leading to fractures [1]. This paper presents a rare case of treating a 34-year-old patient with severe osteoporosis related to pregnancy and lactation using </w:t>
      </w:r>
      <w:proofErr w:type="spellStart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denosumab</w:t>
      </w:r>
      <w:proofErr w:type="spellEnd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 The diagnosis was made after conducting an extensive differential diagnosis. After a year of </w:t>
      </w:r>
      <w:proofErr w:type="spellStart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denosumab</w:t>
      </w:r>
      <w:proofErr w:type="spellEnd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treatment, an increase in mineral density, relief from pain, and functional improvement were achieved. Currently, there are no guidelines for treating such osteoporosis, but </w:t>
      </w:r>
      <w:proofErr w:type="spellStart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denosumab</w:t>
      </w:r>
      <w:proofErr w:type="spellEnd"/>
      <w:r w:rsidRPr="00BB3FB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appears to be a safe and effective alternative to bisphosphonates.</w:t>
      </w:r>
    </w:p>
    <w:p w14:paraId="37DB56F7" w14:textId="77777777" w:rsidR="00CD1FBE" w:rsidRDefault="34C0116C" w:rsidP="34C0116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Keywords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osteoporosis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pregnancy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denosumab</w:t>
      </w:r>
      <w:proofErr w:type="spellEnd"/>
      <w:r w:rsidRPr="34C0116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34C0116C">
        <w:rPr>
          <w:rFonts w:ascii="Times New Roman" w:eastAsia="Times New Roman" w:hAnsi="Times New Roman" w:cs="Times New Roman"/>
          <w:sz w:val="24"/>
          <w:szCs w:val="24"/>
        </w:rPr>
        <w:t>densitometry</w:t>
      </w:r>
      <w:proofErr w:type="spellEnd"/>
    </w:p>
    <w:p w14:paraId="4B99056E" w14:textId="77777777" w:rsidR="00CD1FBE" w:rsidRDefault="00CD1FBE" w:rsidP="34C0116C">
      <w:pPr>
        <w:rPr>
          <w:rFonts w:ascii="Calibri" w:eastAsia="Calibri" w:hAnsi="Calibri" w:cs="Calibri"/>
          <w:b/>
          <w:bCs/>
          <w:sz w:val="28"/>
          <w:szCs w:val="28"/>
        </w:rPr>
      </w:pPr>
    </w:p>
    <w:p w14:paraId="1299C43A" w14:textId="77777777" w:rsidR="00CD1FBE" w:rsidRDefault="00CD1FBE" w:rsidP="34C0116C">
      <w:pPr>
        <w:rPr>
          <w:rFonts w:ascii="Calibri" w:eastAsia="Calibri" w:hAnsi="Calibri" w:cs="Calibri"/>
          <w:b/>
          <w:bCs/>
          <w:sz w:val="28"/>
          <w:szCs w:val="28"/>
        </w:rPr>
      </w:pPr>
    </w:p>
    <w:p w14:paraId="4DDBEF00" w14:textId="77777777" w:rsidR="00CD1FBE" w:rsidRDefault="00CD1FBE" w:rsidP="34C0116C">
      <w:pPr>
        <w:rPr>
          <w:rFonts w:ascii="Calibri" w:eastAsia="Calibri" w:hAnsi="Calibri" w:cs="Calibri"/>
          <w:b/>
          <w:bCs/>
          <w:sz w:val="28"/>
          <w:szCs w:val="28"/>
        </w:rPr>
      </w:pPr>
    </w:p>
    <w:p w14:paraId="3461D779" w14:textId="77777777" w:rsidR="00CD1FBE" w:rsidRDefault="00CD1FBE" w:rsidP="34C0116C">
      <w:pPr>
        <w:rPr>
          <w:rFonts w:ascii="Calibri" w:eastAsia="Calibri" w:hAnsi="Calibri" w:cs="Calibri"/>
          <w:b/>
          <w:bCs/>
          <w:sz w:val="28"/>
          <w:szCs w:val="28"/>
        </w:rPr>
      </w:pPr>
    </w:p>
    <w:sectPr w:rsidR="00CD1FBE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2641A"/>
    <w:multiLevelType w:val="hybridMultilevel"/>
    <w:tmpl w:val="FFFFFFFF"/>
    <w:lvl w:ilvl="0" w:tplc="2B34E476">
      <w:start w:val="1"/>
      <w:numFmt w:val="decimal"/>
      <w:lvlText w:val="%1."/>
      <w:lvlJc w:val="left"/>
      <w:pPr>
        <w:ind w:left="720" w:hanging="360"/>
      </w:pPr>
    </w:lvl>
    <w:lvl w:ilvl="1" w:tplc="185E2838">
      <w:start w:val="1"/>
      <w:numFmt w:val="lowerLetter"/>
      <w:lvlText w:val="%2."/>
      <w:lvlJc w:val="left"/>
      <w:pPr>
        <w:ind w:left="1440" w:hanging="360"/>
      </w:pPr>
    </w:lvl>
    <w:lvl w:ilvl="2" w:tplc="43102486">
      <w:start w:val="1"/>
      <w:numFmt w:val="lowerRoman"/>
      <w:lvlText w:val="%3."/>
      <w:lvlJc w:val="right"/>
      <w:pPr>
        <w:ind w:left="2160" w:hanging="180"/>
      </w:pPr>
    </w:lvl>
    <w:lvl w:ilvl="3" w:tplc="78F84156">
      <w:start w:val="1"/>
      <w:numFmt w:val="decimal"/>
      <w:lvlText w:val="%4."/>
      <w:lvlJc w:val="left"/>
      <w:pPr>
        <w:ind w:left="2880" w:hanging="360"/>
      </w:pPr>
    </w:lvl>
    <w:lvl w:ilvl="4" w:tplc="075E127A">
      <w:start w:val="1"/>
      <w:numFmt w:val="lowerLetter"/>
      <w:lvlText w:val="%5."/>
      <w:lvlJc w:val="left"/>
      <w:pPr>
        <w:ind w:left="3600" w:hanging="360"/>
      </w:pPr>
    </w:lvl>
    <w:lvl w:ilvl="5" w:tplc="23E44F80">
      <w:start w:val="1"/>
      <w:numFmt w:val="lowerRoman"/>
      <w:lvlText w:val="%6."/>
      <w:lvlJc w:val="right"/>
      <w:pPr>
        <w:ind w:left="4320" w:hanging="180"/>
      </w:pPr>
    </w:lvl>
    <w:lvl w:ilvl="6" w:tplc="5BBCD712">
      <w:start w:val="1"/>
      <w:numFmt w:val="decimal"/>
      <w:lvlText w:val="%7."/>
      <w:lvlJc w:val="left"/>
      <w:pPr>
        <w:ind w:left="5040" w:hanging="360"/>
      </w:pPr>
    </w:lvl>
    <w:lvl w:ilvl="7" w:tplc="8D603E40">
      <w:start w:val="1"/>
      <w:numFmt w:val="lowerLetter"/>
      <w:lvlText w:val="%8."/>
      <w:lvlJc w:val="left"/>
      <w:pPr>
        <w:ind w:left="5760" w:hanging="360"/>
      </w:pPr>
    </w:lvl>
    <w:lvl w:ilvl="8" w:tplc="7A1E3A86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78E7F9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hideSpellingErrors/>
  <w:hideGrammaticalErrors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zYysDSxMLE0NrewMDVU0lEKTi0uzszPAykwrAUA5myDYSwAAAA="/>
  </w:docVars>
  <w:rsids>
    <w:rsidRoot w:val="466E9FA8"/>
    <w:rsid w:val="001C4AA4"/>
    <w:rsid w:val="001C5882"/>
    <w:rsid w:val="00232EC0"/>
    <w:rsid w:val="002B4EAD"/>
    <w:rsid w:val="003362A4"/>
    <w:rsid w:val="00366F7F"/>
    <w:rsid w:val="00396D80"/>
    <w:rsid w:val="00453B5A"/>
    <w:rsid w:val="005242F1"/>
    <w:rsid w:val="00526F03"/>
    <w:rsid w:val="00564D4E"/>
    <w:rsid w:val="006C244B"/>
    <w:rsid w:val="009D7A28"/>
    <w:rsid w:val="00BB3FB8"/>
    <w:rsid w:val="00C264EF"/>
    <w:rsid w:val="00C4432E"/>
    <w:rsid w:val="00C4719B"/>
    <w:rsid w:val="00CD1FBE"/>
    <w:rsid w:val="00CE7213"/>
    <w:rsid w:val="00DC3B78"/>
    <w:rsid w:val="00E065E2"/>
    <w:rsid w:val="00F069C8"/>
    <w:rsid w:val="018FCB23"/>
    <w:rsid w:val="03753AE8"/>
    <w:rsid w:val="043B4C30"/>
    <w:rsid w:val="0CE4D1DB"/>
    <w:rsid w:val="0F2A458B"/>
    <w:rsid w:val="0FF12BA8"/>
    <w:rsid w:val="1C380739"/>
    <w:rsid w:val="1D499500"/>
    <w:rsid w:val="1F5DEC68"/>
    <w:rsid w:val="2266A545"/>
    <w:rsid w:val="2463DF61"/>
    <w:rsid w:val="248EFF48"/>
    <w:rsid w:val="3235AE38"/>
    <w:rsid w:val="34C0116C"/>
    <w:rsid w:val="3511A5EE"/>
    <w:rsid w:val="466E9FA8"/>
    <w:rsid w:val="4C7FB853"/>
    <w:rsid w:val="4FEF0C03"/>
    <w:rsid w:val="4FF5F53A"/>
    <w:rsid w:val="5B21108C"/>
    <w:rsid w:val="60846684"/>
    <w:rsid w:val="6236D709"/>
    <w:rsid w:val="63517F76"/>
    <w:rsid w:val="65F4B62E"/>
    <w:rsid w:val="67CC11CB"/>
    <w:rsid w:val="6CA237BA"/>
    <w:rsid w:val="6EED28DD"/>
    <w:rsid w:val="71C53DF4"/>
    <w:rsid w:val="7D6BC577"/>
    <w:rsid w:val="7D748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EAF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34C0116C"/>
    <w:rPr>
      <w:lang w:val="pl-PL"/>
    </w:rPr>
  </w:style>
  <w:style w:type="paragraph" w:styleId="Nagwek1">
    <w:name w:val="heading 1"/>
    <w:basedOn w:val="Normalny"/>
    <w:next w:val="Normalny"/>
    <w:uiPriority w:val="9"/>
    <w:qFormat/>
    <w:rsid w:val="34C0116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sz w:val="26"/>
      <w:szCs w:val="26"/>
    </w:rPr>
  </w:style>
  <w:style w:type="paragraph" w:styleId="Nagwek3">
    <w:name w:val="heading 3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sz w:val="24"/>
      <w:szCs w:val="24"/>
    </w:rPr>
  </w:style>
  <w:style w:type="paragraph" w:styleId="Nagwek4">
    <w:name w:val="heading 4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Nagwek5">
    <w:name w:val="heading 5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</w:rPr>
  </w:style>
  <w:style w:type="paragraph" w:styleId="Nagwek6">
    <w:name w:val="heading 6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</w:rPr>
  </w:style>
  <w:style w:type="paragraph" w:styleId="Nagwek7">
    <w:name w:val="heading 7"/>
    <w:basedOn w:val="Normalny"/>
    <w:next w:val="Normalny"/>
    <w:uiPriority w:val="9"/>
    <w:unhideWhenUsed/>
    <w:qFormat/>
    <w:rsid w:val="34C0116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Nagwek8">
    <w:name w:val="heading 8"/>
    <w:basedOn w:val="Normalny"/>
    <w:next w:val="Normalny"/>
    <w:uiPriority w:val="9"/>
    <w:unhideWhenUsed/>
    <w:qFormat/>
    <w:rsid w:val="34C0116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sz w:val="21"/>
      <w:szCs w:val="21"/>
    </w:rPr>
  </w:style>
  <w:style w:type="paragraph" w:styleId="Nagwek9">
    <w:name w:val="heading 9"/>
    <w:basedOn w:val="Normalny"/>
    <w:next w:val="Normalny"/>
    <w:uiPriority w:val="9"/>
    <w:unhideWhenUsed/>
    <w:qFormat/>
    <w:rsid w:val="34C0116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uiPriority w:val="10"/>
    <w:qFormat/>
    <w:rsid w:val="34C0116C"/>
    <w:pPr>
      <w:spacing w:after="0" w:line="240" w:lineRule="auto"/>
      <w:contextualSpacing/>
    </w:pPr>
    <w:rPr>
      <w:rFonts w:asciiTheme="majorHAnsi" w:eastAsiaTheme="majorEastAsia" w:hAnsiTheme="majorHAnsi" w:cstheme="majorBidi"/>
      <w:sz w:val="56"/>
      <w:szCs w:val="56"/>
    </w:rPr>
  </w:style>
  <w:style w:type="paragraph" w:styleId="Podtytu">
    <w:name w:val="Subtitle"/>
    <w:basedOn w:val="Normalny"/>
    <w:next w:val="Normalny"/>
    <w:uiPriority w:val="11"/>
    <w:qFormat/>
    <w:rsid w:val="34C0116C"/>
  </w:style>
  <w:style w:type="paragraph" w:styleId="Cytat">
    <w:name w:val="Quote"/>
    <w:basedOn w:val="Normalny"/>
    <w:next w:val="Normalny"/>
    <w:uiPriority w:val="29"/>
    <w:qFormat/>
    <w:rsid w:val="34C0116C"/>
    <w:pPr>
      <w:spacing w:before="200"/>
      <w:ind w:left="864" w:right="864"/>
      <w:jc w:val="center"/>
    </w:pPr>
    <w:rPr>
      <w:i/>
      <w:iCs/>
    </w:rPr>
  </w:style>
  <w:style w:type="paragraph" w:styleId="Cytatintensywny">
    <w:name w:val="Intense Quote"/>
    <w:basedOn w:val="Normalny"/>
    <w:next w:val="Normalny"/>
    <w:uiPriority w:val="30"/>
    <w:qFormat/>
    <w:rsid w:val="34C0116C"/>
    <w:pPr>
      <w:spacing w:before="360" w:after="360"/>
      <w:ind w:left="864" w:right="864"/>
      <w:jc w:val="center"/>
    </w:pPr>
    <w:rPr>
      <w:i/>
      <w:iCs/>
    </w:rPr>
  </w:style>
  <w:style w:type="paragraph" w:styleId="Akapitzlist">
    <w:name w:val="List Paragraph"/>
    <w:basedOn w:val="Normalny"/>
    <w:uiPriority w:val="34"/>
    <w:qFormat/>
    <w:rsid w:val="34C0116C"/>
    <w:pPr>
      <w:ind w:left="720"/>
      <w:contextualSpacing/>
    </w:pPr>
  </w:style>
  <w:style w:type="paragraph" w:styleId="Spistreci1">
    <w:name w:val="toc 1"/>
    <w:basedOn w:val="Normalny"/>
    <w:next w:val="Normalny"/>
    <w:uiPriority w:val="39"/>
    <w:unhideWhenUsed/>
    <w:rsid w:val="34C0116C"/>
    <w:pPr>
      <w:spacing w:after="100"/>
    </w:pPr>
  </w:style>
  <w:style w:type="paragraph" w:styleId="Spistreci2">
    <w:name w:val="toc 2"/>
    <w:basedOn w:val="Normalny"/>
    <w:next w:val="Normalny"/>
    <w:uiPriority w:val="39"/>
    <w:unhideWhenUsed/>
    <w:rsid w:val="34C0116C"/>
    <w:pPr>
      <w:spacing w:after="100"/>
      <w:ind w:left="220"/>
    </w:pPr>
  </w:style>
  <w:style w:type="paragraph" w:styleId="Spistreci3">
    <w:name w:val="toc 3"/>
    <w:basedOn w:val="Normalny"/>
    <w:next w:val="Normalny"/>
    <w:uiPriority w:val="39"/>
    <w:unhideWhenUsed/>
    <w:rsid w:val="34C0116C"/>
    <w:pPr>
      <w:spacing w:after="100"/>
      <w:ind w:left="440"/>
    </w:pPr>
  </w:style>
  <w:style w:type="paragraph" w:styleId="Spistreci4">
    <w:name w:val="toc 4"/>
    <w:basedOn w:val="Normalny"/>
    <w:next w:val="Normalny"/>
    <w:uiPriority w:val="39"/>
    <w:unhideWhenUsed/>
    <w:rsid w:val="34C0116C"/>
    <w:pPr>
      <w:spacing w:after="100"/>
      <w:ind w:left="660"/>
    </w:pPr>
  </w:style>
  <w:style w:type="paragraph" w:styleId="Spistreci5">
    <w:name w:val="toc 5"/>
    <w:basedOn w:val="Normalny"/>
    <w:next w:val="Normalny"/>
    <w:uiPriority w:val="39"/>
    <w:unhideWhenUsed/>
    <w:rsid w:val="34C0116C"/>
    <w:pPr>
      <w:spacing w:after="100"/>
      <w:ind w:left="880"/>
    </w:pPr>
  </w:style>
  <w:style w:type="paragraph" w:styleId="Spistreci6">
    <w:name w:val="toc 6"/>
    <w:basedOn w:val="Normalny"/>
    <w:next w:val="Normalny"/>
    <w:uiPriority w:val="39"/>
    <w:unhideWhenUsed/>
    <w:rsid w:val="34C0116C"/>
    <w:pPr>
      <w:spacing w:after="100"/>
      <w:ind w:left="1100"/>
    </w:pPr>
  </w:style>
  <w:style w:type="paragraph" w:styleId="Spistreci7">
    <w:name w:val="toc 7"/>
    <w:basedOn w:val="Normalny"/>
    <w:next w:val="Normalny"/>
    <w:uiPriority w:val="39"/>
    <w:unhideWhenUsed/>
    <w:rsid w:val="34C0116C"/>
    <w:pPr>
      <w:spacing w:after="100"/>
      <w:ind w:left="1320"/>
    </w:pPr>
  </w:style>
  <w:style w:type="paragraph" w:styleId="Spistreci8">
    <w:name w:val="toc 8"/>
    <w:basedOn w:val="Normalny"/>
    <w:next w:val="Normalny"/>
    <w:uiPriority w:val="39"/>
    <w:unhideWhenUsed/>
    <w:rsid w:val="34C0116C"/>
    <w:pPr>
      <w:spacing w:after="100"/>
      <w:ind w:left="1540"/>
    </w:pPr>
  </w:style>
  <w:style w:type="paragraph" w:styleId="Spistreci9">
    <w:name w:val="toc 9"/>
    <w:basedOn w:val="Normalny"/>
    <w:next w:val="Normalny"/>
    <w:uiPriority w:val="39"/>
    <w:unhideWhenUsed/>
    <w:rsid w:val="34C0116C"/>
    <w:pPr>
      <w:spacing w:after="100"/>
      <w:ind w:left="1760"/>
    </w:pPr>
  </w:style>
  <w:style w:type="paragraph" w:styleId="Tekstprzypisukocowego">
    <w:name w:val="endnote text"/>
    <w:basedOn w:val="Normalny"/>
    <w:uiPriority w:val="99"/>
    <w:semiHidden/>
    <w:unhideWhenUsed/>
    <w:rsid w:val="34C0116C"/>
    <w:pPr>
      <w:spacing w:after="0" w:line="240" w:lineRule="auto"/>
    </w:pPr>
    <w:rPr>
      <w:sz w:val="20"/>
      <w:szCs w:val="20"/>
    </w:rPr>
  </w:style>
  <w:style w:type="paragraph" w:styleId="Stopka">
    <w:name w:val="footer"/>
    <w:basedOn w:val="Normalny"/>
    <w:uiPriority w:val="99"/>
    <w:unhideWhenUsed/>
    <w:rsid w:val="34C0116C"/>
    <w:pPr>
      <w:tabs>
        <w:tab w:val="center" w:pos="4680"/>
        <w:tab w:val="right" w:pos="9360"/>
      </w:tabs>
      <w:spacing w:after="0" w:line="240" w:lineRule="auto"/>
    </w:pPr>
  </w:style>
  <w:style w:type="paragraph" w:styleId="Tekstprzypisudolnego">
    <w:name w:val="footnote text"/>
    <w:basedOn w:val="Normalny"/>
    <w:uiPriority w:val="99"/>
    <w:semiHidden/>
    <w:unhideWhenUsed/>
    <w:rsid w:val="34C0116C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uiPriority w:val="99"/>
    <w:unhideWhenUsed/>
    <w:rsid w:val="34C0116C"/>
    <w:pPr>
      <w:tabs>
        <w:tab w:val="center" w:pos="4680"/>
        <w:tab w:val="right" w:pos="9360"/>
      </w:tabs>
      <w:spacing w:after="0" w:line="240" w:lineRule="auto"/>
    </w:p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BB3FB8"/>
    <w:pPr>
      <w:spacing w:after="0" w:line="240" w:lineRule="auto"/>
    </w:pPr>
    <w:rPr>
      <w:lang w:val="pl-PL"/>
    </w:rPr>
  </w:style>
  <w:style w:type="character" w:styleId="Uwydatnienie">
    <w:name w:val="Emphasis"/>
    <w:basedOn w:val="Domylnaczcionkaakapitu"/>
    <w:uiPriority w:val="20"/>
    <w:qFormat/>
    <w:rsid w:val="00BB3FB8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32E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32EC0"/>
    <w:rPr>
      <w:rFonts w:ascii="Segoe UI" w:hAnsi="Segoe UI" w:cs="Segoe UI"/>
      <w:sz w:val="18"/>
      <w:szCs w:val="18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B4EA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4EA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B4EAD"/>
    <w:rPr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4EA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4EAD"/>
    <w:rPr>
      <w:b/>
      <w:bCs/>
      <w:sz w:val="20"/>
      <w:szCs w:val="20"/>
      <w:lang w:val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34C0116C"/>
    <w:rPr>
      <w:lang w:val="pl-PL"/>
    </w:rPr>
  </w:style>
  <w:style w:type="paragraph" w:styleId="Nagwek1">
    <w:name w:val="heading 1"/>
    <w:basedOn w:val="Normalny"/>
    <w:next w:val="Normalny"/>
    <w:uiPriority w:val="9"/>
    <w:qFormat/>
    <w:rsid w:val="34C0116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sz w:val="26"/>
      <w:szCs w:val="26"/>
    </w:rPr>
  </w:style>
  <w:style w:type="paragraph" w:styleId="Nagwek3">
    <w:name w:val="heading 3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sz w:val="24"/>
      <w:szCs w:val="24"/>
    </w:rPr>
  </w:style>
  <w:style w:type="paragraph" w:styleId="Nagwek4">
    <w:name w:val="heading 4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Nagwek5">
    <w:name w:val="heading 5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</w:rPr>
  </w:style>
  <w:style w:type="paragraph" w:styleId="Nagwek6">
    <w:name w:val="heading 6"/>
    <w:basedOn w:val="Normalny"/>
    <w:next w:val="Normalny"/>
    <w:uiPriority w:val="9"/>
    <w:semiHidden/>
    <w:unhideWhenUsed/>
    <w:qFormat/>
    <w:rsid w:val="34C0116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</w:rPr>
  </w:style>
  <w:style w:type="paragraph" w:styleId="Nagwek7">
    <w:name w:val="heading 7"/>
    <w:basedOn w:val="Normalny"/>
    <w:next w:val="Normalny"/>
    <w:uiPriority w:val="9"/>
    <w:unhideWhenUsed/>
    <w:qFormat/>
    <w:rsid w:val="34C0116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Nagwek8">
    <w:name w:val="heading 8"/>
    <w:basedOn w:val="Normalny"/>
    <w:next w:val="Normalny"/>
    <w:uiPriority w:val="9"/>
    <w:unhideWhenUsed/>
    <w:qFormat/>
    <w:rsid w:val="34C0116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sz w:val="21"/>
      <w:szCs w:val="21"/>
    </w:rPr>
  </w:style>
  <w:style w:type="paragraph" w:styleId="Nagwek9">
    <w:name w:val="heading 9"/>
    <w:basedOn w:val="Normalny"/>
    <w:next w:val="Normalny"/>
    <w:uiPriority w:val="9"/>
    <w:unhideWhenUsed/>
    <w:qFormat/>
    <w:rsid w:val="34C0116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uiPriority w:val="10"/>
    <w:qFormat/>
    <w:rsid w:val="34C0116C"/>
    <w:pPr>
      <w:spacing w:after="0" w:line="240" w:lineRule="auto"/>
      <w:contextualSpacing/>
    </w:pPr>
    <w:rPr>
      <w:rFonts w:asciiTheme="majorHAnsi" w:eastAsiaTheme="majorEastAsia" w:hAnsiTheme="majorHAnsi" w:cstheme="majorBidi"/>
      <w:sz w:val="56"/>
      <w:szCs w:val="56"/>
    </w:rPr>
  </w:style>
  <w:style w:type="paragraph" w:styleId="Podtytu">
    <w:name w:val="Subtitle"/>
    <w:basedOn w:val="Normalny"/>
    <w:next w:val="Normalny"/>
    <w:uiPriority w:val="11"/>
    <w:qFormat/>
    <w:rsid w:val="34C0116C"/>
  </w:style>
  <w:style w:type="paragraph" w:styleId="Cytat">
    <w:name w:val="Quote"/>
    <w:basedOn w:val="Normalny"/>
    <w:next w:val="Normalny"/>
    <w:uiPriority w:val="29"/>
    <w:qFormat/>
    <w:rsid w:val="34C0116C"/>
    <w:pPr>
      <w:spacing w:before="200"/>
      <w:ind w:left="864" w:right="864"/>
      <w:jc w:val="center"/>
    </w:pPr>
    <w:rPr>
      <w:i/>
      <w:iCs/>
    </w:rPr>
  </w:style>
  <w:style w:type="paragraph" w:styleId="Cytatintensywny">
    <w:name w:val="Intense Quote"/>
    <w:basedOn w:val="Normalny"/>
    <w:next w:val="Normalny"/>
    <w:uiPriority w:val="30"/>
    <w:qFormat/>
    <w:rsid w:val="34C0116C"/>
    <w:pPr>
      <w:spacing w:before="360" w:after="360"/>
      <w:ind w:left="864" w:right="864"/>
      <w:jc w:val="center"/>
    </w:pPr>
    <w:rPr>
      <w:i/>
      <w:iCs/>
    </w:rPr>
  </w:style>
  <w:style w:type="paragraph" w:styleId="Akapitzlist">
    <w:name w:val="List Paragraph"/>
    <w:basedOn w:val="Normalny"/>
    <w:uiPriority w:val="34"/>
    <w:qFormat/>
    <w:rsid w:val="34C0116C"/>
    <w:pPr>
      <w:ind w:left="720"/>
      <w:contextualSpacing/>
    </w:pPr>
  </w:style>
  <w:style w:type="paragraph" w:styleId="Spistreci1">
    <w:name w:val="toc 1"/>
    <w:basedOn w:val="Normalny"/>
    <w:next w:val="Normalny"/>
    <w:uiPriority w:val="39"/>
    <w:unhideWhenUsed/>
    <w:rsid w:val="34C0116C"/>
    <w:pPr>
      <w:spacing w:after="100"/>
    </w:pPr>
  </w:style>
  <w:style w:type="paragraph" w:styleId="Spistreci2">
    <w:name w:val="toc 2"/>
    <w:basedOn w:val="Normalny"/>
    <w:next w:val="Normalny"/>
    <w:uiPriority w:val="39"/>
    <w:unhideWhenUsed/>
    <w:rsid w:val="34C0116C"/>
    <w:pPr>
      <w:spacing w:after="100"/>
      <w:ind w:left="220"/>
    </w:pPr>
  </w:style>
  <w:style w:type="paragraph" w:styleId="Spistreci3">
    <w:name w:val="toc 3"/>
    <w:basedOn w:val="Normalny"/>
    <w:next w:val="Normalny"/>
    <w:uiPriority w:val="39"/>
    <w:unhideWhenUsed/>
    <w:rsid w:val="34C0116C"/>
    <w:pPr>
      <w:spacing w:after="100"/>
      <w:ind w:left="440"/>
    </w:pPr>
  </w:style>
  <w:style w:type="paragraph" w:styleId="Spistreci4">
    <w:name w:val="toc 4"/>
    <w:basedOn w:val="Normalny"/>
    <w:next w:val="Normalny"/>
    <w:uiPriority w:val="39"/>
    <w:unhideWhenUsed/>
    <w:rsid w:val="34C0116C"/>
    <w:pPr>
      <w:spacing w:after="100"/>
      <w:ind w:left="660"/>
    </w:pPr>
  </w:style>
  <w:style w:type="paragraph" w:styleId="Spistreci5">
    <w:name w:val="toc 5"/>
    <w:basedOn w:val="Normalny"/>
    <w:next w:val="Normalny"/>
    <w:uiPriority w:val="39"/>
    <w:unhideWhenUsed/>
    <w:rsid w:val="34C0116C"/>
    <w:pPr>
      <w:spacing w:after="100"/>
      <w:ind w:left="880"/>
    </w:pPr>
  </w:style>
  <w:style w:type="paragraph" w:styleId="Spistreci6">
    <w:name w:val="toc 6"/>
    <w:basedOn w:val="Normalny"/>
    <w:next w:val="Normalny"/>
    <w:uiPriority w:val="39"/>
    <w:unhideWhenUsed/>
    <w:rsid w:val="34C0116C"/>
    <w:pPr>
      <w:spacing w:after="100"/>
      <w:ind w:left="1100"/>
    </w:pPr>
  </w:style>
  <w:style w:type="paragraph" w:styleId="Spistreci7">
    <w:name w:val="toc 7"/>
    <w:basedOn w:val="Normalny"/>
    <w:next w:val="Normalny"/>
    <w:uiPriority w:val="39"/>
    <w:unhideWhenUsed/>
    <w:rsid w:val="34C0116C"/>
    <w:pPr>
      <w:spacing w:after="100"/>
      <w:ind w:left="1320"/>
    </w:pPr>
  </w:style>
  <w:style w:type="paragraph" w:styleId="Spistreci8">
    <w:name w:val="toc 8"/>
    <w:basedOn w:val="Normalny"/>
    <w:next w:val="Normalny"/>
    <w:uiPriority w:val="39"/>
    <w:unhideWhenUsed/>
    <w:rsid w:val="34C0116C"/>
    <w:pPr>
      <w:spacing w:after="100"/>
      <w:ind w:left="1540"/>
    </w:pPr>
  </w:style>
  <w:style w:type="paragraph" w:styleId="Spistreci9">
    <w:name w:val="toc 9"/>
    <w:basedOn w:val="Normalny"/>
    <w:next w:val="Normalny"/>
    <w:uiPriority w:val="39"/>
    <w:unhideWhenUsed/>
    <w:rsid w:val="34C0116C"/>
    <w:pPr>
      <w:spacing w:after="100"/>
      <w:ind w:left="1760"/>
    </w:pPr>
  </w:style>
  <w:style w:type="paragraph" w:styleId="Tekstprzypisukocowego">
    <w:name w:val="endnote text"/>
    <w:basedOn w:val="Normalny"/>
    <w:uiPriority w:val="99"/>
    <w:semiHidden/>
    <w:unhideWhenUsed/>
    <w:rsid w:val="34C0116C"/>
    <w:pPr>
      <w:spacing w:after="0" w:line="240" w:lineRule="auto"/>
    </w:pPr>
    <w:rPr>
      <w:sz w:val="20"/>
      <w:szCs w:val="20"/>
    </w:rPr>
  </w:style>
  <w:style w:type="paragraph" w:styleId="Stopka">
    <w:name w:val="footer"/>
    <w:basedOn w:val="Normalny"/>
    <w:uiPriority w:val="99"/>
    <w:unhideWhenUsed/>
    <w:rsid w:val="34C0116C"/>
    <w:pPr>
      <w:tabs>
        <w:tab w:val="center" w:pos="4680"/>
        <w:tab w:val="right" w:pos="9360"/>
      </w:tabs>
      <w:spacing w:after="0" w:line="240" w:lineRule="auto"/>
    </w:pPr>
  </w:style>
  <w:style w:type="paragraph" w:styleId="Tekstprzypisudolnego">
    <w:name w:val="footnote text"/>
    <w:basedOn w:val="Normalny"/>
    <w:uiPriority w:val="99"/>
    <w:semiHidden/>
    <w:unhideWhenUsed/>
    <w:rsid w:val="34C0116C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uiPriority w:val="99"/>
    <w:unhideWhenUsed/>
    <w:rsid w:val="34C0116C"/>
    <w:pPr>
      <w:tabs>
        <w:tab w:val="center" w:pos="4680"/>
        <w:tab w:val="right" w:pos="9360"/>
      </w:tabs>
      <w:spacing w:after="0" w:line="240" w:lineRule="auto"/>
    </w:p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BB3FB8"/>
    <w:pPr>
      <w:spacing w:after="0" w:line="240" w:lineRule="auto"/>
    </w:pPr>
    <w:rPr>
      <w:lang w:val="pl-PL"/>
    </w:rPr>
  </w:style>
  <w:style w:type="character" w:styleId="Uwydatnienie">
    <w:name w:val="Emphasis"/>
    <w:basedOn w:val="Domylnaczcionkaakapitu"/>
    <w:uiPriority w:val="20"/>
    <w:qFormat/>
    <w:rsid w:val="00BB3FB8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32E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32EC0"/>
    <w:rPr>
      <w:rFonts w:ascii="Segoe UI" w:hAnsi="Segoe UI" w:cs="Segoe UI"/>
      <w:sz w:val="18"/>
      <w:szCs w:val="18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B4EA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4EA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B4EAD"/>
    <w:rPr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4EA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4EAD"/>
    <w:rPr>
      <w:b/>
      <w:bCs/>
      <w:sz w:val="20"/>
      <w:szCs w:val="20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C65BF1CBA8584EB5AAEAD748B2F490" ma:contentTypeVersion="16" ma:contentTypeDescription="Create a new document." ma:contentTypeScope="" ma:versionID="412d3c593b093371ccf1304511140128">
  <xsd:schema xmlns:xsd="http://www.w3.org/2001/XMLSchema" xmlns:xs="http://www.w3.org/2001/XMLSchema" xmlns:p="http://schemas.microsoft.com/office/2006/metadata/properties" xmlns:ns2="00707728-1bea-4fcf-a541-93cd4bb3451b" xmlns:ns3="4fd26ac6-0f85-4402-a4b7-7e9794a3da7c" targetNamespace="http://schemas.microsoft.com/office/2006/metadata/properties" ma:root="true" ma:fieldsID="778070c1315e0803e1da53b8e11061b4" ns2:_="" ns3:_="">
    <xsd:import namespace="00707728-1bea-4fcf-a541-93cd4bb3451b"/>
    <xsd:import namespace="4fd26ac6-0f85-4402-a4b7-7e9794a3d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707728-1bea-4fcf-a541-93cd4bb345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e7417e2d-d4a4-4cb0-99da-660b09699f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d26ac6-0f85-4402-a4b7-7e9794a3da7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22ef6260-a0c7-4e88-ba96-84ece2576360}" ma:internalName="TaxCatchAll" ma:showField="CatchAllData" ma:web="4fd26ac6-0f85-4402-a4b7-7e9794a3d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fd26ac6-0f85-4402-a4b7-7e9794a3da7c" xsi:nil="true"/>
    <lcf76f155ced4ddcb4097134ff3c332f xmlns="00707728-1bea-4fcf-a541-93cd4bb3451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447A231-3268-47F4-B72D-0A19AC65E7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707728-1bea-4fcf-a541-93cd4bb3451b"/>
    <ds:schemaRef ds:uri="4fd26ac6-0f85-4402-a4b7-7e9794a3d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50B8C9-068B-466B-A2CC-8FB123CF37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2856ADF-F45E-4003-AB12-74D1A884697A}">
  <ds:schemaRefs>
    <ds:schemaRef ds:uri="http://schemas.microsoft.com/office/2006/metadata/properties"/>
    <ds:schemaRef ds:uri="http://schemas.microsoft.com/office/infopath/2007/PartnerControls"/>
    <ds:schemaRef ds:uri="4fd26ac6-0f85-4402-a4b7-7e9794a3da7c"/>
    <ds:schemaRef ds:uri="00707728-1bea-4fcf-a541-93cd4bb3451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2315</Words>
  <Characters>13890</Characters>
  <Application>Microsoft Office Word</Application>
  <DocSecurity>0</DocSecurity>
  <Lines>115</Lines>
  <Paragraphs>32</Paragraphs>
  <ScaleCrop>false</ScaleCrop>
  <Company/>
  <LinksUpToDate>false</LinksUpToDate>
  <CharactersWithSpaces>16173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4</cp:revision>
  <dcterms:created xsi:type="dcterms:W3CDTF">2024-06-19T03:42:00Z</dcterms:created>
  <dcterms:modified xsi:type="dcterms:W3CDTF">2024-07-29T11:57:00Z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0x01010009C65BF1CBA8584EB5AAEAD748B2F490</vt:lpwstr>
  </property>
  <property fmtid="{D5CDD505-2E9C-101B-9397-08002B2CF9AE}" pid="3" name="MediaServiceImageTags">
    <vt:lpwstr/>
  </property>
</Properties>
</file>